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黑体" w:hAnsi="宋体" w:eastAsia="黑体" w:cs="Times New Roman"/>
          <w:b/>
          <w:color w:val="000000"/>
          <w:sz w:val="32"/>
          <w:szCs w:val="32"/>
        </w:rPr>
      </w:pPr>
      <w:r>
        <w:rPr>
          <w:rFonts w:hint="eastAsia" w:ascii="黑体" w:hAnsi="宋体" w:eastAsia="黑体" w:cs="Times New Roman"/>
          <w:b/>
          <w:color w:val="000000"/>
          <w:sz w:val="32"/>
          <w:szCs w:val="32"/>
        </w:rPr>
        <w:t>杭州师范大学</w:t>
      </w:r>
      <w:r>
        <w:rPr>
          <w:rFonts w:hint="eastAsia" w:ascii="黑体" w:hAnsi="宋体" w:eastAsia="黑体" w:cs="Times New Roman"/>
          <w:b/>
          <w:color w:val="000000"/>
          <w:sz w:val="32"/>
          <w:szCs w:val="32"/>
          <w:lang w:eastAsia="zh-CN"/>
        </w:rPr>
        <w:t>经亨颐教育学院</w:t>
      </w:r>
      <w:r>
        <w:rPr>
          <w:rFonts w:hint="eastAsia" w:ascii="黑体" w:hAnsi="宋体" w:eastAsia="黑体" w:cs="Times New Roman"/>
          <w:b/>
          <w:color w:val="000000"/>
          <w:sz w:val="32"/>
          <w:szCs w:val="32"/>
        </w:rPr>
        <w:t>育人工作坊-导师申报表</w:t>
      </w:r>
    </w:p>
    <w:tbl>
      <w:tblPr>
        <w:tblStyle w:val="2"/>
        <w:tblW w:w="9041" w:type="dxa"/>
        <w:tblInd w:w="-4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452"/>
        <w:gridCol w:w="1065"/>
        <w:gridCol w:w="1260"/>
        <w:gridCol w:w="1305"/>
        <w:gridCol w:w="673"/>
        <w:gridCol w:w="26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6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名  称</w:t>
            </w:r>
          </w:p>
        </w:tc>
        <w:tc>
          <w:tcPr>
            <w:tcW w:w="2777" w:type="dxa"/>
            <w:gridSpan w:val="3"/>
            <w:vAlign w:val="center"/>
          </w:tcPr>
          <w:p>
            <w:pPr>
              <w:spacing w:line="360" w:lineRule="auto"/>
              <w:ind w:left="136" w:leftChars="65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（宋体，小四）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类  别</w:t>
            </w:r>
          </w:p>
        </w:tc>
        <w:tc>
          <w:tcPr>
            <w:tcW w:w="3326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科研</w:t>
            </w:r>
            <w:r>
              <w:rPr>
                <w:rFonts w:hint="eastAsia" w:ascii="宋体" w:hAnsi="宋体" w:eastAsia="宋体" w:cs="Times New Roman"/>
                <w:szCs w:val="21"/>
              </w:rPr>
              <w:t>创新</w:t>
            </w:r>
            <w:r>
              <w:rPr>
                <w:rFonts w:ascii="宋体" w:hAnsi="宋体" w:eastAsia="宋体" w:cs="Times New Roman"/>
                <w:szCs w:val="21"/>
              </w:rPr>
              <w:t>类</w:t>
            </w:r>
            <w:r>
              <w:rPr>
                <w:rFonts w:ascii="宋体" w:hAnsi="宋体" w:eastAsia="宋体" w:cs="Times New Roman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 实践竞赛</w:t>
            </w:r>
            <w:r>
              <w:rPr>
                <w:rFonts w:ascii="宋体" w:hAnsi="宋体" w:eastAsia="宋体" w:cs="Times New Roman"/>
                <w:szCs w:val="21"/>
              </w:rPr>
              <w:t>类</w:t>
            </w:r>
            <w:r>
              <w:rPr>
                <w:rFonts w:ascii="宋体" w:hAnsi="宋体" w:eastAsia="宋体" w:cs="Times New Roman"/>
                <w:szCs w:val="21"/>
              </w:rPr>
              <w:sym w:font="Wingdings 2" w:char="00A3"/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</w:t>
            </w:r>
            <w:r>
              <w:rPr>
                <w:rFonts w:ascii="宋体" w:hAnsi="宋体" w:eastAsia="宋体" w:cs="Times New Roman"/>
                <w:szCs w:val="21"/>
              </w:rPr>
              <w:t>技能类</w:t>
            </w:r>
            <w:r>
              <w:rPr>
                <w:rFonts w:ascii="宋体" w:hAnsi="宋体" w:eastAsia="宋体" w:cs="Times New Roman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 升学交流类</w:t>
            </w:r>
            <w:r>
              <w:rPr>
                <w:rFonts w:ascii="宋体" w:hAnsi="宋体" w:eastAsia="宋体" w:cs="Times New Roman"/>
                <w:szCs w:val="21"/>
              </w:rPr>
              <w:sym w:font="Wingdings 2" w:char="00A3"/>
            </w:r>
          </w:p>
          <w:p>
            <w:pPr>
              <w:jc w:val="left"/>
              <w:rPr>
                <w:rFonts w:ascii="宋体" w:hAnsi="宋体" w:eastAsia="宋体" w:cs="Times New Roman"/>
                <w:sz w:val="18"/>
                <w:szCs w:val="18"/>
                <w:u w:val="single"/>
              </w:rPr>
            </w:pPr>
            <w:r>
              <w:rPr>
                <w:rFonts w:ascii="宋体" w:hAnsi="宋体" w:eastAsia="宋体" w:cs="Times New Roman"/>
                <w:szCs w:val="21"/>
              </w:rPr>
              <w:t>创业指导类</w:t>
            </w:r>
            <w:r>
              <w:rPr>
                <w:rFonts w:ascii="宋体" w:hAnsi="宋体" w:eastAsia="宋体" w:cs="Times New Roman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申报教师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（教师团队成员）</w:t>
            </w:r>
          </w:p>
        </w:tc>
        <w:tc>
          <w:tcPr>
            <w:tcW w:w="277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开设时间</w:t>
            </w:r>
          </w:p>
        </w:tc>
        <w:tc>
          <w:tcPr>
            <w:tcW w:w="3326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年   月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—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 年 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职称/职务</w:t>
            </w:r>
          </w:p>
        </w:tc>
        <w:tc>
          <w:tcPr>
            <w:tcW w:w="27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联系方式</w:t>
            </w:r>
          </w:p>
        </w:tc>
        <w:tc>
          <w:tcPr>
            <w:tcW w:w="33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63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所在系（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部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z w:val="24"/>
              </w:rPr>
              <w:t>）</w:t>
            </w:r>
          </w:p>
        </w:tc>
        <w:tc>
          <w:tcPr>
            <w:tcW w:w="277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3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邮箱：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9041" w:type="dxa"/>
            <w:gridSpan w:val="7"/>
            <w:tcBorders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申报教师（教师团队）</w:t>
            </w:r>
            <w:r>
              <w:rPr>
                <w:rFonts w:ascii="宋体" w:hAnsi="宋体" w:eastAsia="宋体" w:cs="Times New Roman"/>
                <w:b/>
                <w:bCs/>
                <w:sz w:val="24"/>
              </w:rPr>
              <w:t>简要介绍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：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904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工作坊预期目标：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904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工作坊指导内容：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904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学年（或学期）的具体指导计划：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04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预计成效（成果）：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04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——以上部分可用于招募工作坊成员时作为招募通知使用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1" w:type="dxa"/>
            <w:gridSpan w:val="7"/>
            <w:tcBorders>
              <w:top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经招募考核，以下同学为工作坊成员：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3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团队成员</w:t>
            </w:r>
          </w:p>
        </w:tc>
        <w:tc>
          <w:tcPr>
            <w:tcW w:w="452" w:type="dxa"/>
            <w:tcBorders>
              <w:right w:val="single" w:color="auto" w:sz="4" w:space="0"/>
            </w:tcBorders>
            <w:vAlign w:val="center"/>
          </w:tcPr>
          <w:p>
            <w:pPr>
              <w:spacing w:line="18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13"/>
                <w:szCs w:val="13"/>
              </w:rPr>
              <w:t>序号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05" w:firstLineChars="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专业班级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学号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5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5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5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3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5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4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5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5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5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6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5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7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5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8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63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学院审核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报备</w:t>
            </w:r>
          </w:p>
        </w:tc>
        <w:tc>
          <w:tcPr>
            <w:tcW w:w="740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633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备注</w:t>
            </w:r>
          </w:p>
        </w:tc>
        <w:tc>
          <w:tcPr>
            <w:tcW w:w="740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育人工作坊招募学生一般为非大一年级本科生；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育人工作坊指导活动一般为每月2次，做好活动记录（文字和照片等）；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育人工作坊一般需要开设一学年（年度），特殊情况可以申请为一学期；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育人工作坊育人成效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请尽可能明确和具体、可检测，是否达成育人成效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将作为对工作坊考核的重要依据；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科研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创新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类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，指导学生积极参与科研项目申报（本创项目、国创项目、新苗计划等），发表论文等；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实践竞赛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类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，指导学生参与与专业相关的实践实训，参加学科竞赛等；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专业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技能类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，指导学生参与艺术技能相关实践实训，参加专业技能竞赛等；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升学交流类，指导学生升学考研、国际交流等；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创业指导类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，指导学生参与创业实践，参加创业项目申报、竞赛等。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考核运用，通过审核工作坊的育人成效，给予相应的育人工作量加分（每年度（学年）：每生计2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分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）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育人工作坊导师指导学生科研、竞赛、技能、创业等，学生获得成绩（成果）可以与育人工作实施办法中的第九项和第十项的内容叠加分值。指导学生成功考研、出国升学（以录取通知为准），每人给予5分，可叠加计入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育人工作坊由教师团队指导的，工作量计算由指导团队在总分内自行分配确定。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年度育人工作量考核时，负责教师应主动填报相关情况。以免遗漏。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有意向的老师填报第一页情况后，可以自行发布，也可以通过学工办发布，写好招募的截止时间和报名方式。</w:t>
            </w:r>
          </w:p>
          <w:p>
            <w:pPr>
              <w:tabs>
                <w:tab w:val="left" w:pos="312"/>
              </w:tabs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0.招募结束后，可再补充填好第二页学生名单，发给学院学工办陈继旭老师邮箱380979307@qq.com，学院做好备案和留存，申请有情况也会及时和老师沟通。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7F601E"/>
    <w:multiLevelType w:val="singleLevel"/>
    <w:tmpl w:val="A37F601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4B0A53A7"/>
    <w:multiLevelType w:val="singleLevel"/>
    <w:tmpl w:val="4B0A53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E2037"/>
    <w:rsid w:val="36BE2037"/>
    <w:rsid w:val="5DDF7B02"/>
    <w:rsid w:val="7AD9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2020-09-13T07:06:00Z</dcterms:created>
  <dc:creator>/ty？？？！</dc:creator>
  <cp:lastModifiedBy>/ty？？？！</cp:lastModifiedBy>
  <dcterms:modified xsi:type="dcterms:W3CDTF">2021-09-24T01:57:41Z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13CF0B9D702F4585BF8441B21B48DAAF</vt:lpwstr>
  </property>
</Properties>
</file>