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36"/>
        </w:rPr>
      </w:pPr>
      <w:r>
        <w:rPr>
          <w:rFonts w:hint="eastAsia"/>
          <w:b/>
          <w:bCs/>
          <w:sz w:val="36"/>
        </w:rPr>
        <w:t>浙江省社科规划课题设计论证（活页）</w:t>
      </w:r>
    </w:p>
    <w:p>
      <w:pPr>
        <w:jc w:val="center"/>
        <w:rPr>
          <w:sz w:val="28"/>
        </w:rPr>
      </w:pPr>
      <w:r>
        <w:rPr>
          <w:rFonts w:hint="eastAsia"/>
          <w:sz w:val="28"/>
        </w:rPr>
        <w:t>（本表不得出现申报者姓名、单位等有关信息）</w:t>
      </w:r>
    </w:p>
    <w:tbl>
      <w:tblPr>
        <w:tblStyle w:val="7"/>
        <w:tblW w:w="0" w:type="auto"/>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7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1440" w:type="dxa"/>
            <w:vAlign w:val="center"/>
          </w:tcPr>
          <w:p>
            <w:pPr>
              <w:snapToGrid w:val="0"/>
              <w:jc w:val="center"/>
            </w:pPr>
            <w:r>
              <w:rPr>
                <w:rFonts w:hint="eastAsia"/>
                <w:b/>
                <w:bCs/>
                <w:sz w:val="28"/>
              </w:rPr>
              <w:t>课题名称</w:t>
            </w:r>
          </w:p>
        </w:tc>
        <w:tc>
          <w:tcPr>
            <w:tcW w:w="7560" w:type="dxa"/>
            <w:vAlign w:val="center"/>
          </w:tcPr>
          <w:p>
            <w:pPr>
              <w:snapToGrid w:val="0"/>
              <w:jc w:val="center"/>
              <w:rPr>
                <w:color w:val="FF0000"/>
              </w:rPr>
            </w:pPr>
            <w:r>
              <w:rPr>
                <w:rFonts w:hint="eastAsia" w:ascii="宋体"/>
              </w:rPr>
              <w:t>教育双减下的校外培训舆情演化及其多元治理研究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1440" w:type="dxa"/>
            <w:vAlign w:val="center"/>
          </w:tcPr>
          <w:p>
            <w:pPr>
              <w:snapToGrid w:val="0"/>
              <w:jc w:val="center"/>
              <w:rPr>
                <w:rFonts w:ascii="宋体"/>
                <w:b/>
              </w:rPr>
            </w:pPr>
            <w:r>
              <w:rPr>
                <w:rFonts w:hint="eastAsia" w:ascii="宋体" w:hAnsi="宋体"/>
                <w:b/>
              </w:rPr>
              <w:t>预期成果</w:t>
            </w:r>
          </w:p>
        </w:tc>
        <w:tc>
          <w:tcPr>
            <w:tcW w:w="7560" w:type="dxa"/>
            <w:vAlign w:val="center"/>
          </w:tcPr>
          <w:p>
            <w:pPr>
              <w:snapToGrid w:val="0"/>
              <w:ind w:left="211"/>
              <w:rPr>
                <w:rFonts w:ascii="仿宋_GB2312" w:eastAsia="仿宋_GB2312"/>
                <w:b/>
              </w:rPr>
            </w:pPr>
            <w:r>
              <w:rPr>
                <w:rFonts w:hint="eastAsia" w:ascii="仿宋_GB2312" w:eastAsia="仿宋_GB2312"/>
              </w:rPr>
              <w:t>3</w:t>
            </w:r>
            <w:r>
              <w:rPr>
                <w:rFonts w:ascii="仿宋_GB2312" w:eastAsia="仿宋_GB2312"/>
              </w:rPr>
              <w:t>.</w:t>
            </w:r>
            <w:r>
              <w:rPr>
                <w:rFonts w:hint="eastAsia" w:ascii="仿宋_GB2312" w:eastAsia="仿宋_GB2312"/>
              </w:rPr>
              <w:t>研究报告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1440" w:type="dxa"/>
            <w:vAlign w:val="center"/>
          </w:tcPr>
          <w:p>
            <w:pPr>
              <w:snapToGrid w:val="0"/>
              <w:jc w:val="center"/>
              <w:rPr>
                <w:rFonts w:ascii="宋体" w:hAnsi="宋体"/>
                <w:b/>
              </w:rPr>
            </w:pPr>
            <w:r>
              <w:rPr>
                <w:rFonts w:hint="eastAsia" w:ascii="宋体" w:hAnsi="宋体"/>
                <w:b/>
              </w:rPr>
              <w:t>成果去向</w:t>
            </w:r>
          </w:p>
        </w:tc>
        <w:tc>
          <w:tcPr>
            <w:tcW w:w="7560" w:type="dxa"/>
            <w:vAlign w:val="center"/>
          </w:tcPr>
          <w:p>
            <w:pPr>
              <w:snapToGrid w:val="0"/>
              <w:ind w:left="211"/>
              <w:rPr>
                <w:rFonts w:ascii="仿宋_GB2312" w:eastAsia="仿宋_GB2312"/>
              </w:rPr>
            </w:pPr>
            <w:r>
              <w:rPr>
                <w:rFonts w:hint="eastAsia" w:ascii="仿宋_GB2312" w:eastAsia="仿宋_GB2312"/>
              </w:rPr>
              <w:t>2.送交相关部门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78" w:hRule="atLeast"/>
        </w:trPr>
        <w:tc>
          <w:tcPr>
            <w:tcW w:w="9000" w:type="dxa"/>
            <w:gridSpan w:val="2"/>
            <w:tcBorders>
              <w:top w:val="single" w:color="auto" w:sz="4" w:space="0"/>
              <w:left w:val="single" w:color="auto" w:sz="4" w:space="0"/>
              <w:bottom w:val="single" w:color="auto" w:sz="4" w:space="0"/>
              <w:right w:val="single" w:color="auto" w:sz="4" w:space="0"/>
            </w:tcBorders>
          </w:tcPr>
          <w:p>
            <w:pPr>
              <w:snapToGrid w:val="0"/>
              <w:rPr>
                <w:rFonts w:ascii="宋体"/>
              </w:rPr>
            </w:pPr>
            <w:r>
              <w:rPr>
                <w:rFonts w:ascii="宋体"/>
                <w:b/>
                <w:bCs/>
              </w:rPr>
              <w:t>1.</w:t>
            </w:r>
            <w:r>
              <w:rPr>
                <w:rFonts w:hint="eastAsia" w:ascii="宋体"/>
                <w:b/>
                <w:bCs/>
              </w:rPr>
              <w:t>选题：</w:t>
            </w:r>
            <w:r>
              <w:rPr>
                <w:rFonts w:hint="eastAsia" w:ascii="宋体"/>
              </w:rPr>
              <w:t>本课题国内外研究现状述评，选题的意义；</w:t>
            </w:r>
            <w:r>
              <w:rPr>
                <w:rFonts w:ascii="宋体"/>
                <w:b/>
                <w:bCs/>
              </w:rPr>
              <w:t>2.</w:t>
            </w:r>
            <w:r>
              <w:rPr>
                <w:rFonts w:hint="eastAsia" w:ascii="宋体"/>
                <w:b/>
                <w:bCs/>
              </w:rPr>
              <w:t>内容：</w:t>
            </w:r>
            <w:r>
              <w:rPr>
                <w:rFonts w:hint="eastAsia" w:ascii="宋体"/>
              </w:rPr>
              <w:t>本课题研究的基本思路、主要内容、基本步骤；</w:t>
            </w:r>
            <w:r>
              <w:rPr>
                <w:rFonts w:ascii="宋体"/>
                <w:b/>
                <w:bCs/>
              </w:rPr>
              <w:t>3.</w:t>
            </w:r>
            <w:r>
              <w:rPr>
                <w:rFonts w:hint="eastAsia" w:ascii="宋体"/>
                <w:b/>
                <w:bCs/>
              </w:rPr>
              <w:t>预期价值：</w:t>
            </w:r>
            <w:r>
              <w:rPr>
                <w:rFonts w:hint="eastAsia" w:ascii="宋体"/>
              </w:rPr>
              <w:t>本课题研究学术观点、学术思想的特色和创新，实际应用价值及成果去向</w:t>
            </w:r>
            <w:r>
              <w:rPr>
                <w:rFonts w:hint="eastAsia" w:ascii="宋体"/>
                <w:bCs/>
              </w:rPr>
              <w:t>；</w:t>
            </w:r>
            <w:r>
              <w:rPr>
                <w:rFonts w:ascii="宋体"/>
                <w:b/>
                <w:bCs/>
              </w:rPr>
              <w:t>4.</w:t>
            </w:r>
            <w:r>
              <w:rPr>
                <w:rFonts w:hint="eastAsia" w:ascii="宋体"/>
              </w:rPr>
              <w:t>本课题研究已有的相关</w:t>
            </w:r>
            <w:r>
              <w:rPr>
                <w:rFonts w:hint="eastAsia" w:ascii="宋体"/>
                <w:b/>
                <w:bCs/>
              </w:rPr>
              <w:t>研究成果和</w:t>
            </w:r>
            <w:r>
              <w:rPr>
                <w:rFonts w:ascii="宋体"/>
                <w:b/>
                <w:bCs/>
              </w:rPr>
              <w:t>前期准备工作</w:t>
            </w:r>
            <w:r>
              <w:rPr>
                <w:rFonts w:hint="eastAsia" w:ascii="宋体"/>
              </w:rPr>
              <w:t>（负责人成果和课题组成员分开写，限填10项）。5.</w:t>
            </w:r>
            <w:r>
              <w:rPr>
                <w:rFonts w:hint="eastAsia" w:ascii="宋体"/>
                <w:b/>
                <w:bCs/>
              </w:rPr>
              <w:t>参考文献</w:t>
            </w:r>
            <w:r>
              <w:rPr>
                <w:rFonts w:hint="eastAsia" w:ascii="宋体"/>
                <w:bCs/>
              </w:rPr>
              <w:t>（</w:t>
            </w:r>
            <w:r>
              <w:rPr>
                <w:rFonts w:hint="eastAsia" w:ascii="宋体"/>
              </w:rPr>
              <w:t>限填10项）。本表填写字数限5000字以内。</w:t>
            </w:r>
            <w:bookmarkStart w:id="1" w:name="_GoBack"/>
            <w:bookmarkEnd w:id="1"/>
          </w:p>
          <w:p>
            <w:pPr>
              <w:snapToGrid w:val="0"/>
              <w:spacing w:line="400" w:lineRule="exact"/>
              <w:ind w:firstLine="420" w:firstLineChars="200"/>
              <w:rPr>
                <w:rFonts w:ascii="宋体"/>
              </w:rPr>
            </w:pPr>
            <w:r>
              <w:rPr>
                <w:rFonts w:hint="eastAsia" w:ascii="宋体"/>
              </w:rPr>
              <w:t>2021年7月，中共中央办公厅、国务院办公厅印发《关于进一步减轻义务教育阶段学生作业负担和校外培训负担的意见》（简称“双减政策”），教育部办公厅发布《关于进一步明确义务教育阶段校外培训学科类和非学科类范围的通知》，意味着我国对校外培训的治理进入强监管阶段，规范和治理的力度与强度也将进一步升级。</w:t>
            </w:r>
            <w:r>
              <w:rPr>
                <w:rFonts w:hint="eastAsia" w:ascii="宋体"/>
                <w:lang w:val="en-US" w:eastAsia="zh-CN"/>
              </w:rPr>
              <w:t>而且，</w:t>
            </w:r>
            <w:r>
              <w:rPr>
                <w:rFonts w:hint="eastAsia" w:ascii="宋体"/>
              </w:rPr>
              <w:t>随着5G互联网的逐渐普及，以及智能手机和通讯技术的迅猛发展，网络已然成为人们获取信息与交流观点的重要空间，发挥着强大的舆情表达与传递功能（</w:t>
            </w:r>
            <w:r>
              <w:rPr>
                <w:rFonts w:hint="eastAsia" w:ascii="宋体" w:hAnsi="宋体"/>
                <w:szCs w:val="21"/>
              </w:rPr>
              <w:t>邹红军等</w:t>
            </w:r>
            <w:r>
              <w:rPr>
                <w:rFonts w:ascii="宋体" w:hAnsi="宋体"/>
                <w:szCs w:val="21"/>
              </w:rPr>
              <w:t>，</w:t>
            </w:r>
            <w:r>
              <w:rPr>
                <w:rFonts w:hint="eastAsia" w:ascii="宋体" w:hAnsi="宋体"/>
                <w:szCs w:val="21"/>
              </w:rPr>
              <w:t>2</w:t>
            </w:r>
            <w:r>
              <w:rPr>
                <w:rFonts w:ascii="宋体" w:hAnsi="宋体"/>
                <w:szCs w:val="21"/>
              </w:rPr>
              <w:t>018</w:t>
            </w:r>
            <w:r>
              <w:rPr>
                <w:rFonts w:hint="eastAsia" w:ascii="宋体"/>
              </w:rPr>
              <w:t>）。广大的网民能够超时空就相关话题或事件表达态度、情绪和意见，网络舆情的便捷性使得更多的真实意见容易被表达、被看到，尤其在教育等网民切身利益相关领域。围绕着网络舆情与校外培训等问题，本课题旨在</w:t>
            </w:r>
            <w:r>
              <w:rPr>
                <w:rFonts w:hint="eastAsia" w:ascii="宋体"/>
                <w:lang w:val="en-US" w:eastAsia="zh-CN"/>
              </w:rPr>
              <w:t>基于网络舆情的视角，来</w:t>
            </w:r>
            <w:r>
              <w:rPr>
                <w:rFonts w:hint="eastAsia" w:ascii="宋体"/>
              </w:rPr>
              <w:t>深入探究教育双减下的校外培训舆情演化及其多元治理方案。</w:t>
            </w:r>
          </w:p>
          <w:p>
            <w:pPr>
              <w:snapToGrid w:val="0"/>
              <w:spacing w:line="400" w:lineRule="exact"/>
              <w:rPr>
                <w:rFonts w:ascii="宋体"/>
                <w:b/>
                <w:bCs/>
              </w:rPr>
            </w:pPr>
            <w:r>
              <w:rPr>
                <w:rFonts w:ascii="宋体"/>
                <w:b/>
                <w:bCs/>
              </w:rPr>
              <w:t>一、选题</w:t>
            </w:r>
            <w:r>
              <w:rPr>
                <w:rFonts w:hint="eastAsia" w:ascii="宋体"/>
                <w:b/>
                <w:bCs/>
              </w:rPr>
              <w:t>依据</w:t>
            </w:r>
          </w:p>
          <w:p>
            <w:pPr>
              <w:snapToGrid w:val="0"/>
              <w:spacing w:line="400" w:lineRule="exact"/>
              <w:rPr>
                <w:rFonts w:ascii="宋体"/>
                <w:b/>
                <w:bCs/>
              </w:rPr>
            </w:pPr>
            <w:r>
              <w:rPr>
                <w:rFonts w:ascii="宋体"/>
                <w:b/>
                <w:bCs/>
              </w:rPr>
              <w:t>（一）</w:t>
            </w:r>
            <w:r>
              <w:rPr>
                <w:rFonts w:hint="eastAsia" w:ascii="宋体"/>
                <w:b/>
                <w:bCs/>
              </w:rPr>
              <w:t>国内外</w:t>
            </w:r>
            <w:r>
              <w:rPr>
                <w:rFonts w:ascii="宋体"/>
                <w:b/>
                <w:bCs/>
              </w:rPr>
              <w:t>研究现状</w:t>
            </w:r>
          </w:p>
          <w:p>
            <w:pPr>
              <w:snapToGrid w:val="0"/>
              <w:spacing w:line="400" w:lineRule="exact"/>
              <w:ind w:firstLine="420" w:firstLineChars="200"/>
              <w:rPr>
                <w:rFonts w:ascii="宋体"/>
              </w:rPr>
            </w:pPr>
            <w:r>
              <w:rPr>
                <w:rFonts w:hint="eastAsia" w:ascii="宋体"/>
              </w:rPr>
              <w:t>校外培训在不同国家常见术语不同，影子教育这个术语较为广泛使用。影子教育主要关注模仿性质的教学，更多的是提供与公共课程相似的内容。对许多人来说校外培训，意味着一对一的指导或者是小组形式的课程，但许多研究文献都指出辅导包括了在演讲厅的大班课。像在马来西亚，提到私人学费比私人辅导更常见；在津巴布韦，一个常见的术语是额外课程，其含义是这些课程是私人运营的，且需要收取费用；在爱尔兰，这种辅导被称为研修；在美国，常见的术语是补充教育；在冈比亚，这被称为研究。其他语言也有自己的细微差别（</w:t>
            </w:r>
            <w:r>
              <w:t>Zhang et al.,2020</w:t>
            </w:r>
            <w:r>
              <w:rPr>
                <w:rFonts w:hint="eastAsia" w:ascii="宋体"/>
              </w:rPr>
              <w:t>）。</w:t>
            </w:r>
          </w:p>
          <w:p>
            <w:pPr>
              <w:snapToGrid w:val="0"/>
              <w:spacing w:line="400" w:lineRule="exact"/>
              <w:rPr>
                <w:rFonts w:ascii="宋体"/>
                <w:b/>
                <w:bCs/>
              </w:rPr>
            </w:pPr>
            <w:r>
              <w:rPr>
                <w:rFonts w:hint="eastAsia" w:ascii="宋体"/>
                <w:b/>
                <w:bCs/>
              </w:rPr>
              <w:t>1</w:t>
            </w:r>
            <w:r>
              <w:rPr>
                <w:rFonts w:ascii="宋体"/>
                <w:b/>
                <w:bCs/>
              </w:rPr>
              <w:t>.</w:t>
            </w:r>
            <w:r>
              <w:rPr>
                <w:rFonts w:hint="eastAsia" w:ascii="宋体"/>
                <w:b/>
                <w:bCs/>
              </w:rPr>
              <w:t>国内研究现状与动态</w:t>
            </w:r>
          </w:p>
          <w:p>
            <w:pPr>
              <w:snapToGrid w:val="0"/>
              <w:spacing w:line="400" w:lineRule="exact"/>
              <w:ind w:firstLine="420" w:firstLineChars="200"/>
              <w:rPr>
                <w:rFonts w:ascii="宋体"/>
              </w:rPr>
            </w:pPr>
            <w:r>
              <w:rPr>
                <w:rFonts w:hint="eastAsia" w:ascii="宋体"/>
              </w:rPr>
              <w:t>关于教育培训的治理，在早期的新中国，共产党政府严格禁止私人企业，导致早先的几十年中国虽深受儒家传统的影响，却没有形成蓬勃的影子教育市场，但是随着市场经济的到来，在政策开放、收入增加和劳动力流动性增强的背景下，中国教育领域的竞争更为激烈，家教如雨后春笋般出现</w:t>
            </w:r>
            <w:r>
              <w:t>（</w:t>
            </w:r>
            <w:r>
              <w:rPr>
                <w:szCs w:val="21"/>
              </w:rPr>
              <w:t>Kwo et al.，2011;Zhang,2011</w:t>
            </w:r>
            <w:r>
              <w:t>）</w:t>
            </w:r>
            <w:r>
              <w:rPr>
                <w:rFonts w:hint="eastAsia" w:ascii="宋体"/>
              </w:rPr>
              <w:t>。2016年，教培行业发展迎来一大契机。二胎政策放开后，学生数量开始明显回升。与此同时，经过一段时间的实践，很多专业性不强、管理存在漏洞的中小培训机构被教育培训行业“淘汰”，市场大幅增长、净化，大型培训机构开始逐步向教学专业化转型，开始组建专业的教学团队、教研团队，生产输出自己的教学产品和教学工具，并依靠互联网和大数据“跟踪”学生和客户。在中国影子教育发展的初期，并未形成强制性的政策文件来规制其发展。随着影子教育的蓬勃发展，各种弊端也暴露出来，这敦促了相关政策的制定。</w:t>
            </w:r>
          </w:p>
          <w:p>
            <w:pPr>
              <w:snapToGrid w:val="0"/>
              <w:spacing w:line="400" w:lineRule="exact"/>
              <w:ind w:firstLine="420" w:firstLineChars="200"/>
              <w:rPr>
                <w:rFonts w:ascii="宋体"/>
              </w:rPr>
            </w:pPr>
            <w:r>
              <w:rPr>
                <w:rFonts w:hint="eastAsia" w:ascii="宋体"/>
              </w:rPr>
              <w:t>中国教育部在2020年出台了《义务教育六科超标超前培训负面清单（试行）》《中小学生校外培训服务合同（示范文本）》，以进一步规范培训机构的行为。2021年两会期间，全国人大代表针对影子教育问题进行了热烈讨论，校外培训机构治理的相关议案引发社会热议，校外培训问题成为了两会教育热点问题之一。政府有关部门对课外补习问题也给予了高度关注，习近平总书记在谈到“校外培训机构治理”时明确指出：“校外培训机构治理这个问题还要继续解决”（胡咏梅，2</w:t>
            </w:r>
            <w:r>
              <w:rPr>
                <w:rFonts w:ascii="宋体"/>
              </w:rPr>
              <w:t>021</w:t>
            </w:r>
            <w:r>
              <w:rPr>
                <w:rFonts w:hint="eastAsia" w:ascii="宋体"/>
              </w:rPr>
              <w:t>）。2021年7月24日中共中央办公厅、国务院办公厅印发了《关于进一步减轻义务教育阶段学生作业负担和校外培训负担的意见》，简称“双减”政策，对校外培训机构进一步深入的管理，其中严格审批机构，不再审批新的面向义务教育阶段学生的学科类校外培训机构，现有学科类培训机构统一登记为非营利性机构。大量K12教育机构进行了大规模的裁员或者业务转型，教育培训行业迎来了极大的困难与挑战。</w:t>
            </w:r>
          </w:p>
          <w:p>
            <w:pPr>
              <w:snapToGrid w:val="0"/>
              <w:spacing w:line="400" w:lineRule="exact"/>
              <w:rPr>
                <w:rFonts w:ascii="宋体"/>
                <w:b/>
                <w:bCs/>
              </w:rPr>
            </w:pPr>
            <w:r>
              <w:rPr>
                <w:rFonts w:hint="eastAsia" w:ascii="宋体"/>
                <w:b/>
                <w:bCs/>
              </w:rPr>
              <w:t>2</w:t>
            </w:r>
            <w:r>
              <w:rPr>
                <w:rFonts w:ascii="宋体"/>
                <w:b/>
                <w:bCs/>
              </w:rPr>
              <w:t>.</w:t>
            </w:r>
            <w:r>
              <w:rPr>
                <w:rFonts w:hint="eastAsia" w:ascii="宋体"/>
                <w:b/>
                <w:bCs/>
              </w:rPr>
              <w:t>国外研究现状与动态</w:t>
            </w:r>
          </w:p>
          <w:p>
            <w:pPr>
              <w:snapToGrid w:val="0"/>
              <w:spacing w:line="400" w:lineRule="exact"/>
              <w:ind w:firstLine="420" w:firstLineChars="200"/>
              <w:rPr>
                <w:rFonts w:ascii="宋体"/>
              </w:rPr>
            </w:pPr>
            <w:r>
              <w:rPr>
                <w:rFonts w:hint="eastAsia" w:ascii="宋体"/>
              </w:rPr>
              <w:t>影子教育在亚洲部分尤其是东亚有着悠久的历史，并且在最近几十年里获得了较大的扩展。其中较为典型的国家有东亚的日、韩，西亚的土耳其以及东南亚缅甸、新加坡、马来西亚等。亚洲绝大多数国家及地区的教育都深受传统文化所影响，课外补习这种现象均是长期存在的（柳菁菁，2</w:t>
            </w:r>
            <w:r>
              <w:rPr>
                <w:rFonts w:ascii="宋体"/>
              </w:rPr>
              <w:t>014</w:t>
            </w:r>
            <w:r>
              <w:rPr>
                <w:rFonts w:hint="eastAsia" w:ascii="宋体"/>
              </w:rPr>
              <w:t>）。相较于亚洲地区，欧美国家的影子教育参与度较低但日渐盛行，且不同地区也存在着较大差异。例如南欧的补习率非常高，东欧有着较为漫长的补习传统，西欧补习规模小却历史悠久，北欧的影子教育规模相对较小（马克·贝磊，2</w:t>
            </w:r>
            <w:r>
              <w:rPr>
                <w:rFonts w:ascii="宋体"/>
              </w:rPr>
              <w:t>020</w:t>
            </w:r>
            <w:r>
              <w:rPr>
                <w:rFonts w:hint="eastAsia" w:ascii="宋体"/>
              </w:rPr>
              <w:t>）。</w:t>
            </w:r>
          </w:p>
          <w:p>
            <w:pPr>
              <w:snapToGrid w:val="0"/>
              <w:spacing w:line="400" w:lineRule="exact"/>
              <w:ind w:firstLine="420" w:firstLineChars="200"/>
              <w:rPr>
                <w:rFonts w:ascii="宋体"/>
              </w:rPr>
            </w:pPr>
            <w:r>
              <w:rPr>
                <w:rFonts w:hint="eastAsia" w:ascii="宋体"/>
              </w:rPr>
              <w:t>对影子教育的治理和监管，亚洲内部存在较大的差异，商业法规通常被强加给辅导机构，要求他们建立适当的规则等，但是许多政府没有进一步发现其内在问题，回避了如课程和导师资格等教育问题。关于提供私人辅导的公共部门的教师的问题，一些政府忽视这个问题，另一些政府出台了行为准则，还有一些政府禁止这种活动。在日本，政府在juku的管理中饰演管理者和“合作伙伴”的身份，已经成立了教师协会进行自我管理，例如日本juku协会全国学习塾协会。2016年韩国当地政府修改实施了《私立教育机构设立、经营与课外辅导法》，对课外辅导机构的设立、教学设置、教师资格、费用等进行全面的立法规制</w:t>
            </w:r>
            <w:r>
              <w:t>（Kim et al.,2010）</w:t>
            </w:r>
            <w:r>
              <w:rPr>
                <w:rFonts w:hint="eastAsia" w:ascii="宋体"/>
              </w:rPr>
              <w:t>。在新加坡，影子教育已经形成了一个较为成熟和健全的体系，其主要形式有家教、补习机构和网络辅导（薛丹，2</w:t>
            </w:r>
            <w:r>
              <w:rPr>
                <w:rFonts w:ascii="宋体"/>
              </w:rPr>
              <w:t>018</w:t>
            </w:r>
            <w:r>
              <w:rPr>
                <w:rFonts w:hint="eastAsia" w:ascii="宋体"/>
              </w:rPr>
              <w:t>）。在美国的公共补习教育体系中，政府发挥了很大的作用，同时各社会机构与志愿者以设立基金会等各种形式对该体系进行补充。</w:t>
            </w:r>
          </w:p>
          <w:p>
            <w:pPr>
              <w:snapToGrid w:val="0"/>
              <w:spacing w:line="400" w:lineRule="exact"/>
              <w:rPr>
                <w:rFonts w:ascii="宋体"/>
                <w:b/>
                <w:bCs/>
              </w:rPr>
            </w:pPr>
            <w:r>
              <w:rPr>
                <w:rFonts w:hint="eastAsia" w:ascii="宋体"/>
                <w:b/>
                <w:bCs/>
              </w:rPr>
              <w:t>（二）选题意义</w:t>
            </w:r>
          </w:p>
          <w:p>
            <w:pPr>
              <w:snapToGrid w:val="0"/>
              <w:spacing w:line="400" w:lineRule="exact"/>
              <w:rPr>
                <w:rFonts w:ascii="宋体"/>
                <w:b/>
                <w:bCs/>
              </w:rPr>
            </w:pPr>
            <w:r>
              <w:rPr>
                <w:rFonts w:ascii="宋体"/>
                <w:b/>
                <w:bCs/>
              </w:rPr>
              <w:t>1.</w:t>
            </w:r>
            <w:r>
              <w:rPr>
                <w:rFonts w:hint="eastAsia" w:ascii="宋体"/>
                <w:b/>
                <w:bCs/>
              </w:rPr>
              <w:t>理论意义</w:t>
            </w:r>
          </w:p>
          <w:p>
            <w:pPr>
              <w:snapToGrid w:val="0"/>
              <w:spacing w:line="400" w:lineRule="exact"/>
              <w:ind w:firstLine="420" w:firstLineChars="200"/>
              <w:rPr>
                <w:rFonts w:ascii="宋体"/>
              </w:rPr>
            </w:pPr>
            <w:r>
              <w:rPr>
                <w:rFonts w:hint="eastAsia" w:ascii="宋体"/>
              </w:rPr>
              <w:t>一方面有，有助于完善网络舆情相关理论在教育领域的应用，为舆情在教育中的良性发展提供理论基础。另一方面，也能够丰富多元治理理论在双减政策等国家参与监管下的校外培训的多元治理研究，为教育公平研究提供理论上的帮助。</w:t>
            </w:r>
          </w:p>
          <w:p>
            <w:pPr>
              <w:snapToGrid w:val="0"/>
              <w:spacing w:line="400" w:lineRule="exact"/>
              <w:rPr>
                <w:rFonts w:ascii="宋体"/>
                <w:b/>
                <w:bCs/>
              </w:rPr>
            </w:pPr>
            <w:r>
              <w:rPr>
                <w:rFonts w:ascii="宋体"/>
                <w:b/>
                <w:bCs/>
              </w:rPr>
              <w:t>2.</w:t>
            </w:r>
            <w:r>
              <w:rPr>
                <w:rFonts w:hint="eastAsia" w:ascii="宋体"/>
                <w:b/>
                <w:bCs/>
              </w:rPr>
              <w:t>现实意义</w:t>
            </w:r>
          </w:p>
          <w:p>
            <w:pPr>
              <w:snapToGrid w:val="0"/>
              <w:spacing w:line="400" w:lineRule="exact"/>
              <w:ind w:firstLine="420" w:firstLineChars="200"/>
              <w:rPr>
                <w:rFonts w:ascii="宋体"/>
              </w:rPr>
            </w:pPr>
            <w:r>
              <w:rPr>
                <w:rFonts w:hint="eastAsia" w:ascii="宋体"/>
              </w:rPr>
              <w:t>一方面，探究网络舆情的本质，剖析校外培训舆情趋势，基于舆情分析为进一步治理监管校外培训提出对策。另一方面，为舆情部门提供多视角的教育舆情，为其与其他教育部门的合作提供注意点和参考，规范教育培训的治理与发展。</w:t>
            </w:r>
          </w:p>
          <w:p>
            <w:pPr>
              <w:snapToGrid w:val="0"/>
              <w:spacing w:line="400" w:lineRule="exact"/>
              <w:rPr>
                <w:rFonts w:ascii="宋体"/>
              </w:rPr>
            </w:pPr>
          </w:p>
          <w:p>
            <w:pPr>
              <w:snapToGrid w:val="0"/>
              <w:spacing w:line="400" w:lineRule="exact"/>
              <w:rPr>
                <w:rFonts w:ascii="宋体"/>
                <w:b/>
                <w:bCs/>
              </w:rPr>
            </w:pPr>
            <w:r>
              <w:rPr>
                <w:rFonts w:hint="eastAsia" w:ascii="宋体"/>
                <w:b/>
                <w:bCs/>
              </w:rPr>
              <w:t>二、研究内容</w:t>
            </w:r>
          </w:p>
          <w:p>
            <w:pPr>
              <w:snapToGrid w:val="0"/>
              <w:spacing w:line="400" w:lineRule="exact"/>
              <w:rPr>
                <w:rFonts w:ascii="宋体"/>
              </w:rPr>
            </w:pPr>
            <w:r>
              <w:rPr>
                <w:rFonts w:hint="eastAsia" w:ascii="宋体"/>
                <w:b/>
                <w:bCs/>
              </w:rPr>
              <w:t>（一）研究对象</w:t>
            </w:r>
          </w:p>
          <w:p>
            <w:pPr>
              <w:snapToGrid w:val="0"/>
              <w:spacing w:line="400" w:lineRule="exact"/>
              <w:ind w:firstLine="420" w:firstLineChars="200"/>
              <w:rPr>
                <w:rFonts w:ascii="宋体"/>
              </w:rPr>
            </w:pPr>
            <w:r>
              <w:rPr>
                <w:rFonts w:hint="eastAsia" w:ascii="宋体"/>
              </w:rPr>
              <w:t>教育培训机构舆情热度概况，主要从舆情指数来展开，重点剖析检索范围内的舆情热点及其配后的典型事件。教育舆情的现状及基于双减政策对于校外培训的引导下，建构起教育行政和管理部门、监督和辅助部门、校外培训服务对象与校外培训多元规范治理机制校外培训多元治理方案。</w:t>
            </w:r>
          </w:p>
          <w:p>
            <w:pPr>
              <w:snapToGrid w:val="0"/>
              <w:spacing w:line="400" w:lineRule="exact"/>
              <w:rPr>
                <w:rFonts w:ascii="宋体"/>
                <w:b/>
                <w:bCs/>
              </w:rPr>
            </w:pPr>
            <w:r>
              <w:rPr>
                <w:rFonts w:hint="eastAsia" w:ascii="宋体"/>
                <w:b/>
                <w:bCs/>
              </w:rPr>
              <w:t>（二）框架思路</w:t>
            </w:r>
          </w:p>
          <w:p>
            <w:pPr>
              <w:snapToGrid w:val="0"/>
              <w:spacing w:line="400" w:lineRule="exact"/>
              <w:ind w:firstLine="420" w:firstLineChars="200"/>
              <w:rPr>
                <w:rFonts w:ascii="宋体"/>
              </w:rPr>
            </w:pPr>
            <w:r>
              <w:rPr>
                <w:rFonts w:hint="eastAsia" w:ascii="宋体"/>
              </w:rPr>
              <w:t>总体框架思路，遵循“问题提出-理论参考-实证研究-政策建议”的研究脉络，加上具体研究内容和研究方法。在问题提出和理论参考层面，从教育网络舆情和校外培训治理等问题出发，结合网络舆情“三级模式”和多元协同治理理论，尝试探索校外培训舆情中的主要因素：政府、媒介和受众，及校外培训多元治理发展路径等。</w:t>
            </w:r>
          </w:p>
          <w:p>
            <w:pPr>
              <w:snapToGrid w:val="0"/>
              <w:spacing w:line="400" w:lineRule="exact"/>
              <w:ind w:firstLine="420" w:firstLineChars="200"/>
              <w:rPr>
                <w:rFonts w:ascii="宋体"/>
              </w:rPr>
            </w:pPr>
            <w:r>
              <w:rPr>
                <w:rFonts w:hint="eastAsia" w:ascii="宋体"/>
              </w:rPr>
              <w:t>在实证研究层面，主要是分为校外培训舆情发生频次、校外培训舆情主体分析和校外培训治理优化路径对教育双减校外培训舆情演化与治理现状进行调研，并对双减政策对校外培训的主要引导进行简要分析，形成校外培训舆情及其可视化、双减政策对象分析及校外培训多元治理路径。最后，在政策建议层面，则会对政校企互动以及校外培训多元治理等方面提出政策的建议，详见</w:t>
            </w:r>
            <w:r>
              <w:rPr>
                <w:rFonts w:ascii="宋体"/>
              </w:rPr>
              <w:fldChar w:fldCharType="begin"/>
            </w:r>
            <w:r>
              <w:rPr>
                <w:rFonts w:ascii="宋体"/>
              </w:rPr>
              <w:instrText xml:space="preserve"> </w:instrText>
            </w:r>
            <w:r>
              <w:rPr>
                <w:rFonts w:hint="eastAsia" w:ascii="宋体"/>
              </w:rPr>
              <w:instrText xml:space="preserve">REF _Ref98152182 \h</w:instrText>
            </w:r>
            <w:r>
              <w:rPr>
                <w:rFonts w:ascii="宋体"/>
              </w:rPr>
              <w:instrText xml:space="preserve">  \* MERGEFORMAT </w:instrText>
            </w:r>
            <w:r>
              <w:rPr>
                <w:rFonts w:ascii="宋体"/>
              </w:rPr>
              <w:fldChar w:fldCharType="separate"/>
            </w:r>
            <w:r>
              <w:rPr>
                <w:rFonts w:hint="eastAsia" w:ascii="宋体" w:hAnsi="宋体"/>
                <w:szCs w:val="21"/>
              </w:rPr>
              <w:t xml:space="preserve">图 </w:t>
            </w:r>
            <w:r>
              <w:rPr>
                <w:rFonts w:ascii="宋体" w:hAnsi="宋体"/>
                <w:szCs w:val="21"/>
              </w:rPr>
              <w:t>1</w:t>
            </w:r>
            <w:r>
              <w:rPr>
                <w:rFonts w:ascii="宋体"/>
              </w:rPr>
              <w:fldChar w:fldCharType="end"/>
            </w:r>
            <w:r>
              <w:rPr>
                <w:rFonts w:hint="eastAsia" w:ascii="宋体"/>
              </w:rPr>
              <w:t>。</w:t>
            </w:r>
          </w:p>
          <w:p>
            <w:pPr>
              <w:keepNext/>
              <w:snapToGrid w:val="0"/>
              <w:spacing w:line="300" w:lineRule="auto"/>
              <w:jc w:val="center"/>
            </w:pPr>
            <w:r>
              <w:drawing>
                <wp:inline distT="0" distB="0" distL="0" distR="0">
                  <wp:extent cx="4129405" cy="4912360"/>
                  <wp:effectExtent l="0" t="0" r="1079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4131382" cy="4914241"/>
                          </a:xfrm>
                          <a:prstGeom prst="rect">
                            <a:avLst/>
                          </a:prstGeom>
                        </pic:spPr>
                      </pic:pic>
                    </a:graphicData>
                  </a:graphic>
                </wp:inline>
              </w:drawing>
            </w:r>
          </w:p>
          <w:p>
            <w:pPr>
              <w:pStyle w:val="2"/>
              <w:jc w:val="center"/>
              <w:rPr>
                <w:rFonts w:ascii="宋体" w:hAnsi="宋体" w:eastAsia="宋体"/>
                <w:b/>
                <w:bCs/>
                <w:sz w:val="21"/>
                <w:szCs w:val="21"/>
              </w:rPr>
            </w:pPr>
            <w:bookmarkStart w:id="0" w:name="_Ref98152182"/>
            <w:r>
              <w:rPr>
                <w:rFonts w:hint="eastAsia" w:ascii="宋体" w:hAnsi="宋体" w:eastAsia="宋体"/>
                <w:b/>
                <w:bCs/>
                <w:sz w:val="21"/>
                <w:szCs w:val="21"/>
              </w:rPr>
              <w:t xml:space="preserve">图 </w:t>
            </w:r>
            <w:r>
              <w:rPr>
                <w:rFonts w:ascii="宋体" w:hAnsi="宋体" w:eastAsia="宋体"/>
                <w:b/>
                <w:bCs/>
                <w:sz w:val="21"/>
                <w:szCs w:val="21"/>
              </w:rPr>
              <w:fldChar w:fldCharType="begin"/>
            </w:r>
            <w:r>
              <w:rPr>
                <w:rFonts w:ascii="宋体" w:hAnsi="宋体" w:eastAsia="宋体"/>
                <w:b/>
                <w:bCs/>
                <w:sz w:val="21"/>
                <w:szCs w:val="21"/>
              </w:rPr>
              <w:instrText xml:space="preserve"> </w:instrText>
            </w:r>
            <w:r>
              <w:rPr>
                <w:rFonts w:hint="eastAsia" w:ascii="宋体" w:hAnsi="宋体" w:eastAsia="宋体"/>
                <w:b/>
                <w:bCs/>
                <w:sz w:val="21"/>
                <w:szCs w:val="21"/>
              </w:rPr>
              <w:instrText xml:space="preserve">SEQ 图 \* ARABIC</w:instrText>
            </w:r>
            <w:r>
              <w:rPr>
                <w:rFonts w:ascii="宋体" w:hAnsi="宋体" w:eastAsia="宋体"/>
                <w:b/>
                <w:bCs/>
                <w:sz w:val="21"/>
                <w:szCs w:val="21"/>
              </w:rPr>
              <w:instrText xml:space="preserve"> </w:instrText>
            </w:r>
            <w:r>
              <w:rPr>
                <w:rFonts w:ascii="宋体" w:hAnsi="宋体" w:eastAsia="宋体"/>
                <w:b/>
                <w:bCs/>
                <w:sz w:val="21"/>
                <w:szCs w:val="21"/>
              </w:rPr>
              <w:fldChar w:fldCharType="separate"/>
            </w:r>
            <w:r>
              <w:rPr>
                <w:rFonts w:ascii="宋体" w:hAnsi="宋体" w:eastAsia="宋体"/>
                <w:b/>
                <w:bCs/>
                <w:sz w:val="21"/>
                <w:szCs w:val="21"/>
              </w:rPr>
              <w:t>1</w:t>
            </w:r>
            <w:r>
              <w:rPr>
                <w:rFonts w:ascii="宋体" w:hAnsi="宋体" w:eastAsia="宋体"/>
                <w:b/>
                <w:bCs/>
                <w:sz w:val="21"/>
                <w:szCs w:val="21"/>
              </w:rPr>
              <w:fldChar w:fldCharType="end"/>
            </w:r>
            <w:bookmarkEnd w:id="0"/>
            <w:r>
              <w:rPr>
                <w:rFonts w:ascii="宋体" w:hAnsi="宋体" w:eastAsia="宋体"/>
                <w:b/>
                <w:bCs/>
                <w:sz w:val="21"/>
                <w:szCs w:val="21"/>
              </w:rPr>
              <w:t xml:space="preserve"> </w:t>
            </w:r>
            <w:r>
              <w:rPr>
                <w:rFonts w:hint="eastAsia" w:ascii="宋体" w:hAnsi="宋体" w:eastAsia="宋体"/>
                <w:b/>
                <w:bCs/>
                <w:sz w:val="21"/>
                <w:szCs w:val="21"/>
              </w:rPr>
              <w:t>研究框架思路</w:t>
            </w:r>
          </w:p>
          <w:p>
            <w:pPr>
              <w:snapToGrid w:val="0"/>
              <w:spacing w:line="400" w:lineRule="exact"/>
              <w:rPr>
                <w:rFonts w:ascii="宋体"/>
                <w:b/>
                <w:bCs/>
              </w:rPr>
            </w:pPr>
            <w:r>
              <w:rPr>
                <w:rFonts w:hint="eastAsia" w:ascii="宋体"/>
                <w:b/>
                <w:bCs/>
              </w:rPr>
              <w:t>（三）主要内容</w:t>
            </w:r>
          </w:p>
          <w:p>
            <w:pPr>
              <w:snapToGrid w:val="0"/>
              <w:spacing w:line="400" w:lineRule="exact"/>
              <w:rPr>
                <w:rFonts w:ascii="宋体"/>
                <w:b/>
                <w:bCs/>
              </w:rPr>
            </w:pPr>
            <w:r>
              <w:rPr>
                <w:rFonts w:hint="eastAsia" w:ascii="宋体"/>
                <w:b/>
                <w:bCs/>
              </w:rPr>
              <w:t>1</w:t>
            </w:r>
            <w:r>
              <w:rPr>
                <w:rFonts w:ascii="宋体"/>
                <w:b/>
                <w:bCs/>
              </w:rPr>
              <w:t>.</w:t>
            </w:r>
            <w:r>
              <w:rPr>
                <w:rFonts w:hint="eastAsia" w:ascii="宋体"/>
                <w:b/>
                <w:bCs/>
              </w:rPr>
              <w:t>网络舆情“三级模式”理论与多元协同治理理论融合的相关理论研究</w:t>
            </w:r>
          </w:p>
          <w:p>
            <w:pPr>
              <w:snapToGrid w:val="0"/>
              <w:spacing w:line="400" w:lineRule="exact"/>
              <w:ind w:firstLine="420" w:firstLineChars="200"/>
              <w:rPr>
                <w:rFonts w:ascii="宋体"/>
              </w:rPr>
            </w:pPr>
            <w:r>
              <w:rPr>
                <w:rFonts w:hint="eastAsia" w:ascii="宋体"/>
              </w:rPr>
              <w:t>网络舆情“三级模式”理论认为，舆情的主要因素是政府、媒介、受众，三级模式就是三者之间的循环互动。从多元协同治理出发，与网络舆情“三级模式”理论相结合，建构网络舆情视角下的多元规范治理机制。</w:t>
            </w:r>
          </w:p>
          <w:p>
            <w:pPr>
              <w:snapToGrid w:val="0"/>
              <w:spacing w:line="400" w:lineRule="exact"/>
              <w:rPr>
                <w:rFonts w:ascii="宋体"/>
                <w:b/>
                <w:bCs/>
              </w:rPr>
            </w:pPr>
            <w:r>
              <w:rPr>
                <w:rFonts w:hint="eastAsia" w:ascii="宋体"/>
                <w:b/>
                <w:bCs/>
              </w:rPr>
              <w:t>2</w:t>
            </w:r>
            <w:r>
              <w:rPr>
                <w:rFonts w:ascii="宋体"/>
                <w:b/>
                <w:bCs/>
              </w:rPr>
              <w:t>.</w:t>
            </w:r>
            <w:r>
              <w:rPr>
                <w:rFonts w:hint="eastAsia" w:ascii="宋体"/>
                <w:b/>
                <w:bCs/>
              </w:rPr>
              <w:t>基于教育双减下对校外培训引导与网络舆情分析</w:t>
            </w:r>
          </w:p>
          <w:p>
            <w:pPr>
              <w:snapToGrid w:val="0"/>
              <w:spacing w:line="400" w:lineRule="exact"/>
              <w:ind w:firstLine="420" w:firstLineChars="200"/>
              <w:rPr>
                <w:rFonts w:ascii="宋体"/>
              </w:rPr>
            </w:pPr>
            <w:r>
              <w:rPr>
                <w:rFonts w:hint="eastAsia" w:ascii="宋体"/>
              </w:rPr>
              <w:t>包括对双减政策、对象以及双减政策下网络舆情，资讯指数和检索指数的剖析，重点探讨双减政策与舆论事件和热度的相关关系，研究网络舆情产生的影响因素和影响程度。</w:t>
            </w:r>
          </w:p>
          <w:p>
            <w:pPr>
              <w:snapToGrid w:val="0"/>
              <w:spacing w:line="400" w:lineRule="exact"/>
              <w:rPr>
                <w:rFonts w:ascii="宋体"/>
                <w:b/>
                <w:bCs/>
              </w:rPr>
            </w:pPr>
            <w:r>
              <w:rPr>
                <w:rFonts w:hint="eastAsia" w:ascii="宋体"/>
                <w:b/>
                <w:bCs/>
              </w:rPr>
              <w:t>3</w:t>
            </w:r>
            <w:r>
              <w:rPr>
                <w:rFonts w:ascii="宋体"/>
                <w:b/>
                <w:bCs/>
              </w:rPr>
              <w:t>.</w:t>
            </w:r>
            <w:r>
              <w:rPr>
                <w:rFonts w:hint="eastAsia" w:ascii="宋体"/>
                <w:b/>
                <w:bCs/>
              </w:rPr>
              <w:t>教育双减网络舆情视角下校外培训多元治理路径</w:t>
            </w:r>
          </w:p>
          <w:p>
            <w:pPr>
              <w:snapToGrid w:val="0"/>
              <w:spacing w:line="400" w:lineRule="exact"/>
              <w:ind w:firstLine="420" w:firstLineChars="200"/>
              <w:rPr>
                <w:rFonts w:ascii="宋体"/>
              </w:rPr>
            </w:pPr>
            <w:r>
              <w:rPr>
                <w:rFonts w:hint="eastAsia" w:ascii="宋体"/>
              </w:rPr>
              <w:t>构建的网络舆情视角下的培训机构多元规范治理模式，则结合培训行业特征，将受众维度进一步细分为学生及其家长、教育培训机构、媒体和网民等三类元主体，所以也可以理解为基于网络舆情“三级模式”发展而来的网络舆情视角下培训机构规范治理的“五元模式”。</w:t>
            </w:r>
          </w:p>
          <w:p>
            <w:pPr>
              <w:snapToGrid w:val="0"/>
              <w:spacing w:line="400" w:lineRule="exact"/>
              <w:rPr>
                <w:rFonts w:ascii="宋体"/>
                <w:b/>
                <w:bCs/>
              </w:rPr>
            </w:pPr>
            <w:r>
              <w:rPr>
                <w:rFonts w:hint="eastAsia" w:ascii="宋体"/>
                <w:b/>
                <w:bCs/>
              </w:rPr>
              <w:t>4</w:t>
            </w:r>
            <w:r>
              <w:rPr>
                <w:rFonts w:ascii="宋体"/>
                <w:b/>
                <w:bCs/>
              </w:rPr>
              <w:t>.</w:t>
            </w:r>
            <w:r>
              <w:rPr>
                <w:rFonts w:hint="eastAsia" w:ascii="宋体"/>
                <w:b/>
                <w:bCs/>
              </w:rPr>
              <w:t>对政校企互动以及校外培训多元治理政策建议</w:t>
            </w:r>
          </w:p>
          <w:p>
            <w:pPr>
              <w:snapToGrid w:val="0"/>
              <w:spacing w:line="400" w:lineRule="exact"/>
              <w:ind w:firstLine="420" w:firstLineChars="200"/>
              <w:rPr>
                <w:rFonts w:ascii="宋体"/>
              </w:rPr>
            </w:pPr>
            <w:r>
              <w:rPr>
                <w:rFonts w:hint="eastAsia" w:ascii="宋体"/>
              </w:rPr>
              <w:t>结合理论研究与网络舆情剖析的结果，对校外培训多元良性发展，为网络教育舆情监管部门和教育监管部门等，提供治理与管理的新想法与思路。</w:t>
            </w:r>
          </w:p>
          <w:p>
            <w:pPr>
              <w:snapToGrid w:val="0"/>
              <w:spacing w:line="400" w:lineRule="exact"/>
              <w:rPr>
                <w:rFonts w:hint="default" w:ascii="宋体" w:eastAsia="宋体"/>
                <w:b/>
                <w:bCs/>
                <w:lang w:val="en-US" w:eastAsia="zh-CN"/>
              </w:rPr>
            </w:pPr>
            <w:r>
              <w:rPr>
                <w:rFonts w:hint="eastAsia" w:ascii="宋体"/>
                <w:b/>
                <w:bCs/>
              </w:rPr>
              <w:t>三、</w:t>
            </w:r>
            <w:r>
              <w:rPr>
                <w:rFonts w:hint="eastAsia" w:ascii="宋体"/>
                <w:b/>
                <w:bCs/>
                <w:lang w:val="en-US" w:eastAsia="zh-CN"/>
              </w:rPr>
              <w:t>预期价值</w:t>
            </w:r>
          </w:p>
          <w:p>
            <w:pPr>
              <w:snapToGrid w:val="0"/>
              <w:spacing w:line="400" w:lineRule="exact"/>
              <w:rPr>
                <w:rFonts w:ascii="宋体"/>
                <w:b/>
                <w:bCs/>
              </w:rPr>
            </w:pPr>
            <w:r>
              <w:rPr>
                <w:rFonts w:hint="eastAsia" w:ascii="宋体"/>
                <w:b/>
                <w:bCs/>
              </w:rPr>
              <w:t>（一）研究学术观点、学术思想的特色和创新</w:t>
            </w:r>
          </w:p>
          <w:p>
            <w:pPr>
              <w:snapToGrid w:val="0"/>
              <w:spacing w:line="400" w:lineRule="exact"/>
              <w:rPr>
                <w:rFonts w:ascii="宋体"/>
                <w:b/>
                <w:bCs/>
              </w:rPr>
            </w:pPr>
            <w:r>
              <w:rPr>
                <w:rFonts w:hint="eastAsia" w:ascii="宋体"/>
                <w:b/>
                <w:bCs/>
                <w:lang w:val="en-US" w:eastAsia="zh-CN"/>
              </w:rPr>
              <w:t>1.</w:t>
            </w:r>
            <w:r>
              <w:rPr>
                <w:rFonts w:hint="eastAsia" w:ascii="宋体"/>
                <w:b/>
                <w:bCs/>
              </w:rPr>
              <w:t>充实网络舆情“三级模式”与多元协同治理理论的交叉领域</w:t>
            </w:r>
          </w:p>
          <w:p>
            <w:pPr>
              <w:snapToGrid w:val="0"/>
              <w:spacing w:line="400" w:lineRule="exact"/>
              <w:ind w:firstLine="420" w:firstLineChars="200"/>
              <w:rPr>
                <w:rFonts w:ascii="宋体"/>
              </w:rPr>
            </w:pPr>
            <w:r>
              <w:rPr>
                <w:rFonts w:hint="eastAsia" w:ascii="宋体"/>
              </w:rPr>
              <w:t>探索网络舆情“三级模式”与多元协同治理理论及其影响因素，深入探索人机协同教学领域中的人机、师生和生生交流认知特征及其影响因素，从而充实人机协同教学和交流认知理论的交叉领域。</w:t>
            </w:r>
          </w:p>
          <w:p>
            <w:pPr>
              <w:snapToGrid w:val="0"/>
              <w:spacing w:line="400" w:lineRule="exact"/>
              <w:rPr>
                <w:rFonts w:ascii="宋体"/>
                <w:b/>
                <w:bCs/>
              </w:rPr>
            </w:pPr>
            <w:r>
              <w:rPr>
                <w:rFonts w:hint="eastAsia" w:ascii="宋体"/>
                <w:b/>
                <w:bCs/>
                <w:lang w:val="en-US" w:eastAsia="zh-CN"/>
              </w:rPr>
              <w:t>2.</w:t>
            </w:r>
            <w:r>
              <w:rPr>
                <w:rFonts w:hint="eastAsia" w:ascii="宋体"/>
                <w:b/>
                <w:bCs/>
              </w:rPr>
              <w:t>助力教育双减政策对教育发展的优化</w:t>
            </w:r>
          </w:p>
          <w:p>
            <w:pPr>
              <w:snapToGrid w:val="0"/>
              <w:spacing w:line="400" w:lineRule="exact"/>
              <w:ind w:firstLine="420" w:firstLineChars="200"/>
              <w:rPr>
                <w:rFonts w:ascii="宋体"/>
              </w:rPr>
            </w:pPr>
            <w:r>
              <w:rPr>
                <w:rFonts w:hint="eastAsia" w:ascii="宋体"/>
              </w:rPr>
              <w:t>尝试建构基于教育双减网络舆情视角下的多元治理路径，为教育政策出台与进行的效果，提供观察方法和教育，助力教育双减政策对教育优化发展。</w:t>
            </w:r>
          </w:p>
          <w:p>
            <w:pPr>
              <w:snapToGrid w:val="0"/>
              <w:spacing w:line="400" w:lineRule="exact"/>
              <w:rPr>
                <w:rFonts w:ascii="宋体"/>
                <w:b/>
                <w:bCs/>
              </w:rPr>
            </w:pPr>
            <w:r>
              <w:rPr>
                <w:rFonts w:hint="eastAsia" w:ascii="宋体"/>
                <w:b/>
                <w:bCs/>
                <w:lang w:val="en-US" w:eastAsia="zh-CN"/>
              </w:rPr>
              <w:t>3.</w:t>
            </w:r>
            <w:r>
              <w:rPr>
                <w:rFonts w:hint="eastAsia" w:ascii="宋体"/>
                <w:b/>
                <w:bCs/>
              </w:rPr>
              <w:t>多种混合研究的方法独特</w:t>
            </w:r>
          </w:p>
          <w:p>
            <w:pPr>
              <w:snapToGrid w:val="0"/>
              <w:spacing w:line="400" w:lineRule="exact"/>
              <w:ind w:firstLine="420" w:firstLineChars="200"/>
              <w:rPr>
                <w:rFonts w:ascii="宋体"/>
              </w:rPr>
            </w:pPr>
            <w:r>
              <w:rPr>
                <w:rFonts w:hint="eastAsia" w:ascii="宋体"/>
              </w:rPr>
              <w:t>在网络调查法等研究方法基础上，增加热点可视化分析，从而开展基于网络舆情的多元治理路径的德尔菲三轮专家调查论证和优化，提高专家的论证和优化效果。</w:t>
            </w:r>
          </w:p>
          <w:p>
            <w:pPr>
              <w:snapToGrid w:val="0"/>
              <w:spacing w:line="400" w:lineRule="exact"/>
              <w:rPr>
                <w:rFonts w:hint="eastAsia" w:ascii="宋体" w:eastAsia="宋体"/>
                <w:b/>
                <w:bCs/>
                <w:lang w:val="en-US" w:eastAsia="zh-CN"/>
              </w:rPr>
            </w:pPr>
            <w:r>
              <w:rPr>
                <w:rFonts w:hint="eastAsia" w:ascii="宋体"/>
                <w:b/>
                <w:bCs/>
              </w:rPr>
              <w:t>（</w:t>
            </w:r>
            <w:r>
              <w:rPr>
                <w:rFonts w:hint="eastAsia" w:ascii="宋体"/>
                <w:b/>
                <w:bCs/>
                <w:lang w:val="en-US" w:eastAsia="zh-CN"/>
              </w:rPr>
              <w:t>二</w:t>
            </w:r>
            <w:r>
              <w:rPr>
                <w:rFonts w:hint="eastAsia" w:ascii="宋体"/>
                <w:b/>
                <w:bCs/>
              </w:rPr>
              <w:t>）成果形式</w:t>
            </w:r>
            <w:r>
              <w:rPr>
                <w:rFonts w:hint="eastAsia" w:ascii="宋体"/>
                <w:b/>
                <w:bCs/>
                <w:lang w:eastAsia="zh-CN"/>
              </w:rPr>
              <w:t>、</w:t>
            </w:r>
            <w:r>
              <w:rPr>
                <w:rFonts w:hint="eastAsia" w:ascii="宋体"/>
                <w:b/>
                <w:bCs/>
              </w:rPr>
              <w:t>去向及实际应用价值</w:t>
            </w:r>
          </w:p>
          <w:p>
            <w:pPr>
              <w:snapToGrid w:val="0"/>
              <w:spacing w:line="400" w:lineRule="exact"/>
              <w:ind w:firstLine="420" w:firstLineChars="200"/>
              <w:rPr>
                <w:rFonts w:ascii="宋体"/>
              </w:rPr>
            </w:pPr>
            <w:r>
              <w:rPr>
                <w:rFonts w:hint="eastAsia" w:ascii="宋体"/>
              </w:rPr>
              <w:t>形成一篇研究报告预计6</w:t>
            </w:r>
            <w:r>
              <w:rPr>
                <w:rFonts w:ascii="宋体"/>
              </w:rPr>
              <w:t>000</w:t>
            </w:r>
            <w:r>
              <w:rPr>
                <w:rFonts w:hint="eastAsia" w:ascii="宋体"/>
              </w:rPr>
              <w:t>多字，含5个图和2个表，包括教育双减前、后校外培训网络舆情热点事件表，检索指数网络舆情视角下教育双减前、后校外培训发展概况图，资讯指数网络舆情视角下的培训机构发展概况图，教育双减前后校外培训乱象及政府监管图以及网络舆情视角下下外培训多元规范治理模式图。</w:t>
            </w:r>
          </w:p>
          <w:p>
            <w:pPr>
              <w:snapToGrid w:val="0"/>
              <w:spacing w:line="400" w:lineRule="exact"/>
              <w:ind w:firstLine="420" w:firstLineChars="200"/>
              <w:rPr>
                <w:rFonts w:hint="eastAsia" w:ascii="宋体"/>
                <w:b/>
                <w:bCs/>
              </w:rPr>
            </w:pPr>
            <w:r>
              <w:rPr>
                <w:rFonts w:hint="eastAsia" w:ascii="宋体"/>
              </w:rPr>
              <w:t>研究报告呈递给浙江省委宣传部舆情信息处，为其对教育双减政策舆情信息的掌握提供新视角，为在舆情视角下校外培训的多元治理与合作提供新思路，促进教育生态良性发展。</w:t>
            </w:r>
          </w:p>
          <w:p>
            <w:pPr>
              <w:snapToGrid w:val="0"/>
              <w:spacing w:line="400" w:lineRule="exact"/>
              <w:rPr>
                <w:rFonts w:ascii="宋体"/>
                <w:b/>
                <w:bCs/>
              </w:rPr>
            </w:pPr>
            <w:r>
              <w:rPr>
                <w:rFonts w:hint="eastAsia" w:ascii="宋体"/>
                <w:b/>
                <w:bCs/>
                <w:lang w:val="en-US" w:eastAsia="zh-CN"/>
              </w:rPr>
              <w:t>四</w:t>
            </w:r>
            <w:r>
              <w:rPr>
                <w:rFonts w:hint="eastAsia" w:ascii="宋体"/>
                <w:b/>
                <w:bCs/>
              </w:rPr>
              <w:t>、研究成果和</w:t>
            </w:r>
            <w:r>
              <w:rPr>
                <w:rFonts w:ascii="宋体"/>
                <w:b/>
                <w:bCs/>
              </w:rPr>
              <w:t>前期准备工作</w:t>
            </w:r>
          </w:p>
          <w:p>
            <w:pPr>
              <w:snapToGrid w:val="0"/>
              <w:spacing w:line="300" w:lineRule="auto"/>
              <w:ind w:left="-107" w:leftChars="-51"/>
              <w:rPr>
                <w:rFonts w:hint="default" w:ascii="宋体" w:eastAsia="宋体"/>
                <w:b/>
                <w:bCs/>
                <w:lang w:val="en-US" w:eastAsia="zh-CN"/>
              </w:rPr>
            </w:pPr>
            <w:r>
              <w:rPr>
                <w:rFonts w:hint="eastAsia" w:ascii="宋体"/>
                <w:b/>
                <w:bCs/>
                <w:lang w:eastAsia="zh-CN"/>
              </w:rPr>
              <w:t>（</w:t>
            </w:r>
            <w:r>
              <w:rPr>
                <w:rFonts w:hint="eastAsia" w:ascii="宋体"/>
                <w:b/>
                <w:bCs/>
                <w:lang w:val="en-US" w:eastAsia="zh-CN"/>
              </w:rPr>
              <w:t>一</w:t>
            </w:r>
            <w:r>
              <w:rPr>
                <w:rFonts w:hint="eastAsia" w:ascii="宋体"/>
                <w:b/>
                <w:bCs/>
                <w:lang w:eastAsia="zh-CN"/>
              </w:rPr>
              <w:t>）</w:t>
            </w:r>
            <w:r>
              <w:rPr>
                <w:rFonts w:hint="eastAsia" w:ascii="宋体"/>
                <w:b/>
                <w:bCs/>
                <w:lang w:val="en-US" w:eastAsia="zh-CN"/>
              </w:rPr>
              <w:t>研究成果（按要求，仅罗列10项）</w:t>
            </w:r>
          </w:p>
          <w:p>
            <w:pPr>
              <w:snapToGrid w:val="0"/>
              <w:spacing w:line="300" w:lineRule="auto"/>
              <w:ind w:left="-107" w:leftChars="-51"/>
              <w:rPr>
                <w:rFonts w:ascii="宋体"/>
                <w:b/>
                <w:bCs/>
              </w:rPr>
            </w:pPr>
            <w:r>
              <w:rPr>
                <w:rFonts w:hint="eastAsia" w:ascii="宋体"/>
                <w:b/>
                <w:bCs/>
                <w:lang w:val="en-US" w:eastAsia="zh-CN"/>
              </w:rPr>
              <w:t>1.</w:t>
            </w:r>
            <w:r>
              <w:rPr>
                <w:rFonts w:hint="eastAsia" w:ascii="宋体"/>
                <w:b/>
                <w:bCs/>
              </w:rPr>
              <w:t>负责人</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6"/>
              <w:gridCol w:w="4819"/>
              <w:gridCol w:w="1418"/>
              <w:gridCol w:w="1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736" w:type="dxa"/>
                  <w:vAlign w:val="center"/>
                </w:tcPr>
                <w:p>
                  <w:pPr>
                    <w:snapToGrid w:val="0"/>
                    <w:spacing w:line="300" w:lineRule="auto"/>
                    <w:jc w:val="center"/>
                    <w:rPr>
                      <w:rFonts w:ascii="宋体"/>
                      <w:b/>
                      <w:bCs/>
                    </w:rPr>
                  </w:pPr>
                  <w:r>
                    <w:rPr>
                      <w:rFonts w:hint="eastAsia" w:ascii="宋体"/>
                      <w:b/>
                      <w:bCs/>
                    </w:rPr>
                    <w:t>序号</w:t>
                  </w:r>
                </w:p>
              </w:tc>
              <w:tc>
                <w:tcPr>
                  <w:tcW w:w="4819" w:type="dxa"/>
                  <w:vAlign w:val="center"/>
                </w:tcPr>
                <w:p>
                  <w:pPr>
                    <w:snapToGrid w:val="0"/>
                    <w:spacing w:line="300" w:lineRule="auto"/>
                    <w:jc w:val="center"/>
                    <w:rPr>
                      <w:rFonts w:ascii="宋体"/>
                      <w:b/>
                      <w:bCs/>
                    </w:rPr>
                  </w:pPr>
                  <w:r>
                    <w:rPr>
                      <w:rFonts w:hint="eastAsia" w:ascii="宋体"/>
                      <w:b/>
                      <w:bCs/>
                    </w:rPr>
                    <w:t>标题</w:t>
                  </w:r>
                </w:p>
              </w:tc>
              <w:tc>
                <w:tcPr>
                  <w:tcW w:w="1418" w:type="dxa"/>
                  <w:vAlign w:val="center"/>
                </w:tcPr>
                <w:p>
                  <w:pPr>
                    <w:snapToGrid w:val="0"/>
                    <w:spacing w:line="300" w:lineRule="auto"/>
                    <w:jc w:val="center"/>
                    <w:rPr>
                      <w:rFonts w:ascii="宋体"/>
                      <w:b/>
                      <w:bCs/>
                    </w:rPr>
                  </w:pPr>
                  <w:r>
                    <w:rPr>
                      <w:rFonts w:hint="eastAsia" w:ascii="宋体"/>
                      <w:b/>
                      <w:bCs/>
                    </w:rPr>
                    <w:t>负责人排名</w:t>
                  </w:r>
                </w:p>
              </w:tc>
              <w:tc>
                <w:tcPr>
                  <w:tcW w:w="1728" w:type="dxa"/>
                  <w:vAlign w:val="center"/>
                </w:tcPr>
                <w:p>
                  <w:pPr>
                    <w:snapToGrid w:val="0"/>
                    <w:spacing w:line="300" w:lineRule="auto"/>
                    <w:jc w:val="center"/>
                    <w:rPr>
                      <w:rFonts w:ascii="宋体"/>
                      <w:b/>
                      <w:bCs/>
                    </w:rPr>
                  </w:pPr>
                  <w:r>
                    <w:rPr>
                      <w:rFonts w:hint="eastAsia" w:ascii="宋体"/>
                      <w:b/>
                      <w:bCs/>
                    </w:rPr>
                    <w:t>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736" w:type="dxa"/>
                  <w:vAlign w:val="center"/>
                </w:tcPr>
                <w:p>
                  <w:pPr>
                    <w:snapToGrid w:val="0"/>
                    <w:spacing w:line="300" w:lineRule="auto"/>
                    <w:jc w:val="center"/>
                    <w:rPr>
                      <w:rFonts w:ascii="宋体"/>
                    </w:rPr>
                  </w:pPr>
                  <w:r>
                    <w:rPr>
                      <w:rFonts w:hint="eastAsia" w:ascii="宋体"/>
                    </w:rPr>
                    <w:t>1</w:t>
                  </w:r>
                </w:p>
              </w:tc>
              <w:tc>
                <w:tcPr>
                  <w:tcW w:w="4819" w:type="dxa"/>
                  <w:vAlign w:val="center"/>
                </w:tcPr>
                <w:p>
                  <w:pPr>
                    <w:snapToGrid w:val="0"/>
                    <w:spacing w:line="300" w:lineRule="auto"/>
                    <w:jc w:val="center"/>
                    <w:rPr>
                      <w:rFonts w:ascii="宋体"/>
                    </w:rPr>
                  </w:pPr>
                  <w:r>
                    <w:rPr>
                      <w:rFonts w:hint="eastAsia" w:ascii="宋体"/>
                    </w:rPr>
                    <w:t>美《台湾旅行法》背景下的</w:t>
                  </w:r>
                </w:p>
                <w:p>
                  <w:pPr>
                    <w:snapToGrid w:val="0"/>
                    <w:spacing w:line="300" w:lineRule="auto"/>
                    <w:jc w:val="center"/>
                    <w:rPr>
                      <w:rFonts w:ascii="宋体"/>
                    </w:rPr>
                  </w:pPr>
                  <w:r>
                    <w:rPr>
                      <w:rFonts w:hint="eastAsia" w:ascii="宋体"/>
                    </w:rPr>
                    <w:t>浙江民间舆情现况和对策研究</w:t>
                  </w:r>
                </w:p>
              </w:tc>
              <w:tc>
                <w:tcPr>
                  <w:tcW w:w="1418" w:type="dxa"/>
                  <w:vAlign w:val="center"/>
                </w:tcPr>
                <w:p>
                  <w:pPr>
                    <w:snapToGrid w:val="0"/>
                    <w:spacing w:line="300" w:lineRule="auto"/>
                    <w:jc w:val="center"/>
                    <w:rPr>
                      <w:rFonts w:ascii="宋体"/>
                    </w:rPr>
                  </w:pPr>
                  <w:r>
                    <w:rPr>
                      <w:rFonts w:hint="eastAsia" w:ascii="宋体"/>
                    </w:rPr>
                    <w:t>第一</w:t>
                  </w:r>
                </w:p>
              </w:tc>
              <w:tc>
                <w:tcPr>
                  <w:tcW w:w="1728" w:type="dxa"/>
                  <w:vAlign w:val="center"/>
                </w:tcPr>
                <w:p>
                  <w:pPr>
                    <w:snapToGrid w:val="0"/>
                    <w:spacing w:line="300" w:lineRule="auto"/>
                    <w:jc w:val="center"/>
                    <w:rPr>
                      <w:rFonts w:ascii="宋体"/>
                    </w:rPr>
                  </w:pPr>
                  <w:r>
                    <w:rPr>
                      <w:rFonts w:hint="eastAsia" w:ascii="宋体"/>
                    </w:rPr>
                    <w:t>浙江省台湾事务办公室采纳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736" w:type="dxa"/>
                  <w:vAlign w:val="center"/>
                </w:tcPr>
                <w:p>
                  <w:pPr>
                    <w:snapToGrid w:val="0"/>
                    <w:spacing w:line="300" w:lineRule="auto"/>
                    <w:jc w:val="center"/>
                    <w:rPr>
                      <w:rFonts w:ascii="宋体"/>
                    </w:rPr>
                  </w:pPr>
                  <w:r>
                    <w:rPr>
                      <w:rFonts w:hint="eastAsia" w:ascii="宋体"/>
                    </w:rPr>
                    <w:t>2</w:t>
                  </w:r>
                </w:p>
              </w:tc>
              <w:tc>
                <w:tcPr>
                  <w:tcW w:w="4819" w:type="dxa"/>
                  <w:vAlign w:val="center"/>
                </w:tcPr>
                <w:p>
                  <w:pPr>
                    <w:snapToGrid w:val="0"/>
                    <w:spacing w:line="300" w:lineRule="auto"/>
                    <w:jc w:val="center"/>
                    <w:rPr>
                      <w:rFonts w:ascii="宋体"/>
                    </w:rPr>
                  </w:pPr>
                  <w:r>
                    <w:rPr>
                      <w:rFonts w:hint="eastAsia" w:ascii="宋体"/>
                    </w:rPr>
                    <w:t>基于需求层次理论的志愿服务效应模式研究——以团中央研支团浙江连为例</w:t>
                  </w:r>
                </w:p>
              </w:tc>
              <w:tc>
                <w:tcPr>
                  <w:tcW w:w="1418" w:type="dxa"/>
                  <w:vAlign w:val="center"/>
                </w:tcPr>
                <w:p>
                  <w:pPr>
                    <w:snapToGrid w:val="0"/>
                    <w:spacing w:line="300" w:lineRule="auto"/>
                    <w:jc w:val="center"/>
                    <w:rPr>
                      <w:rFonts w:ascii="宋体"/>
                    </w:rPr>
                  </w:pPr>
                  <w:r>
                    <w:rPr>
                      <w:rFonts w:hint="eastAsia" w:ascii="宋体"/>
                    </w:rPr>
                    <w:t>第一</w:t>
                  </w:r>
                </w:p>
              </w:tc>
              <w:tc>
                <w:tcPr>
                  <w:tcW w:w="1728" w:type="dxa"/>
                  <w:vAlign w:val="center"/>
                </w:tcPr>
                <w:p>
                  <w:pPr>
                    <w:snapToGrid w:val="0"/>
                    <w:spacing w:line="300" w:lineRule="auto"/>
                    <w:jc w:val="center"/>
                    <w:rPr>
                      <w:rFonts w:ascii="宋体"/>
                    </w:rPr>
                  </w:pPr>
                  <w:r>
                    <w:rPr>
                      <w:rFonts w:hint="eastAsia" w:ascii="宋体"/>
                    </w:rPr>
                    <w:t>国家级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736" w:type="dxa"/>
                  <w:vAlign w:val="center"/>
                </w:tcPr>
                <w:p>
                  <w:pPr>
                    <w:snapToGrid w:val="0"/>
                    <w:spacing w:line="300" w:lineRule="auto"/>
                    <w:jc w:val="center"/>
                    <w:rPr>
                      <w:rFonts w:ascii="宋体"/>
                    </w:rPr>
                  </w:pPr>
                  <w:r>
                    <w:rPr>
                      <w:rFonts w:hint="eastAsia" w:ascii="宋体"/>
                    </w:rPr>
                    <w:t>3</w:t>
                  </w:r>
                </w:p>
              </w:tc>
              <w:tc>
                <w:tcPr>
                  <w:tcW w:w="4819" w:type="dxa"/>
                  <w:vAlign w:val="center"/>
                </w:tcPr>
                <w:p>
                  <w:pPr>
                    <w:snapToGrid w:val="0"/>
                    <w:spacing w:line="300" w:lineRule="auto"/>
                    <w:jc w:val="center"/>
                    <w:rPr>
                      <w:rFonts w:ascii="宋体"/>
                    </w:rPr>
                  </w:pPr>
                  <w:r>
                    <w:rPr>
                      <w:rFonts w:hint="eastAsia" w:ascii="宋体"/>
                    </w:rPr>
                    <w:t>Commognitive responsibility shift and its visualizing in （课外培训） computer-supported one-to-one tutoring</w:t>
                  </w:r>
                </w:p>
              </w:tc>
              <w:tc>
                <w:tcPr>
                  <w:tcW w:w="1418" w:type="dxa"/>
                  <w:vAlign w:val="center"/>
                </w:tcPr>
                <w:p>
                  <w:pPr>
                    <w:snapToGrid w:val="0"/>
                    <w:spacing w:line="300" w:lineRule="auto"/>
                    <w:jc w:val="center"/>
                    <w:rPr>
                      <w:rFonts w:ascii="宋体"/>
                    </w:rPr>
                  </w:pPr>
                  <w:r>
                    <w:rPr>
                      <w:rFonts w:hint="eastAsia" w:ascii="宋体"/>
                    </w:rPr>
                    <w:t>第一</w:t>
                  </w:r>
                </w:p>
              </w:tc>
              <w:tc>
                <w:tcPr>
                  <w:tcW w:w="1728" w:type="dxa"/>
                  <w:vAlign w:val="center"/>
                </w:tcPr>
                <w:p>
                  <w:pPr>
                    <w:snapToGrid w:val="0"/>
                    <w:spacing w:line="300" w:lineRule="auto"/>
                    <w:jc w:val="center"/>
                    <w:rPr>
                      <w:rFonts w:ascii="宋体"/>
                    </w:rPr>
                  </w:pPr>
                  <w:r>
                    <w:rPr>
                      <w:rFonts w:hint="eastAsia" w:ascii="宋体"/>
                    </w:rPr>
                    <w:t>2区SSCI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736" w:type="dxa"/>
                  <w:vAlign w:val="center"/>
                </w:tcPr>
                <w:p>
                  <w:pPr>
                    <w:snapToGrid w:val="0"/>
                    <w:spacing w:line="300" w:lineRule="auto"/>
                    <w:jc w:val="center"/>
                    <w:rPr>
                      <w:rFonts w:ascii="宋体"/>
                    </w:rPr>
                  </w:pPr>
                  <w:r>
                    <w:rPr>
                      <w:rFonts w:hint="eastAsia" w:ascii="宋体"/>
                    </w:rPr>
                    <w:t>4</w:t>
                  </w:r>
                </w:p>
              </w:tc>
              <w:tc>
                <w:tcPr>
                  <w:tcW w:w="4819" w:type="dxa"/>
                  <w:vAlign w:val="center"/>
                </w:tcPr>
                <w:p>
                  <w:pPr>
                    <w:snapToGrid w:val="0"/>
                    <w:spacing w:line="300" w:lineRule="auto"/>
                    <w:jc w:val="center"/>
                    <w:rPr>
                      <w:rFonts w:ascii="宋体"/>
                    </w:rPr>
                  </w:pPr>
                  <w:r>
                    <w:rPr>
                      <w:rFonts w:hint="eastAsia" w:ascii="宋体"/>
                    </w:rPr>
                    <w:t xml:space="preserve"> Visualizing the commognitive processes in （课外培训）computer-supported one-to-one tutoring</w:t>
                  </w:r>
                </w:p>
              </w:tc>
              <w:tc>
                <w:tcPr>
                  <w:tcW w:w="1418" w:type="dxa"/>
                  <w:vAlign w:val="center"/>
                </w:tcPr>
                <w:p>
                  <w:pPr>
                    <w:snapToGrid w:val="0"/>
                    <w:spacing w:line="300" w:lineRule="auto"/>
                    <w:jc w:val="center"/>
                    <w:rPr>
                      <w:rFonts w:ascii="宋体"/>
                    </w:rPr>
                  </w:pPr>
                  <w:r>
                    <w:rPr>
                      <w:rFonts w:hint="eastAsia" w:ascii="宋体"/>
                    </w:rPr>
                    <w:t>第一</w:t>
                  </w:r>
                </w:p>
              </w:tc>
              <w:tc>
                <w:tcPr>
                  <w:tcW w:w="1728" w:type="dxa"/>
                  <w:vAlign w:val="center"/>
                </w:tcPr>
                <w:p>
                  <w:pPr>
                    <w:snapToGrid w:val="0"/>
                    <w:spacing w:line="300" w:lineRule="auto"/>
                    <w:jc w:val="center"/>
                    <w:rPr>
                      <w:rFonts w:ascii="宋体"/>
                    </w:rPr>
                  </w:pPr>
                  <w:r>
                    <w:rPr>
                      <w:rFonts w:hint="eastAsia" w:ascii="宋体"/>
                    </w:rPr>
                    <w:t>2区SSCI</w:t>
                  </w:r>
                </w:p>
              </w:tc>
            </w:tr>
          </w:tbl>
          <w:p>
            <w:pPr>
              <w:snapToGrid w:val="0"/>
              <w:spacing w:line="300" w:lineRule="auto"/>
              <w:rPr>
                <w:rFonts w:ascii="宋体"/>
                <w:b/>
                <w:bCs/>
              </w:rPr>
            </w:pPr>
            <w:r>
              <w:rPr>
                <w:rFonts w:hint="eastAsia" w:ascii="宋体"/>
                <w:b/>
                <w:bCs/>
                <w:lang w:val="en-US" w:eastAsia="zh-CN"/>
              </w:rPr>
              <w:t>2.</w:t>
            </w:r>
            <w:r>
              <w:rPr>
                <w:rFonts w:hint="eastAsia" w:ascii="宋体"/>
                <w:b/>
                <w:bCs/>
              </w:rPr>
              <w:t>参与者</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6"/>
              <w:gridCol w:w="4819"/>
              <w:gridCol w:w="1418"/>
              <w:gridCol w:w="1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736" w:type="dxa"/>
                  <w:vAlign w:val="center"/>
                </w:tcPr>
                <w:p>
                  <w:pPr>
                    <w:snapToGrid w:val="0"/>
                    <w:spacing w:line="300" w:lineRule="auto"/>
                    <w:jc w:val="center"/>
                    <w:rPr>
                      <w:rFonts w:ascii="宋体"/>
                      <w:b/>
                      <w:bCs/>
                    </w:rPr>
                  </w:pPr>
                  <w:r>
                    <w:rPr>
                      <w:rFonts w:hint="eastAsia" w:ascii="宋体"/>
                      <w:b/>
                      <w:bCs/>
                    </w:rPr>
                    <w:t>序号</w:t>
                  </w:r>
                </w:p>
              </w:tc>
              <w:tc>
                <w:tcPr>
                  <w:tcW w:w="4819" w:type="dxa"/>
                  <w:vAlign w:val="center"/>
                </w:tcPr>
                <w:p>
                  <w:pPr>
                    <w:snapToGrid w:val="0"/>
                    <w:spacing w:line="300" w:lineRule="auto"/>
                    <w:jc w:val="center"/>
                    <w:rPr>
                      <w:rFonts w:ascii="宋体"/>
                      <w:b/>
                      <w:bCs/>
                    </w:rPr>
                  </w:pPr>
                  <w:r>
                    <w:rPr>
                      <w:rFonts w:hint="eastAsia" w:ascii="宋体"/>
                      <w:b/>
                      <w:bCs/>
                    </w:rPr>
                    <w:t>标题</w:t>
                  </w:r>
                </w:p>
              </w:tc>
              <w:tc>
                <w:tcPr>
                  <w:tcW w:w="1418" w:type="dxa"/>
                  <w:vAlign w:val="center"/>
                </w:tcPr>
                <w:p>
                  <w:pPr>
                    <w:snapToGrid w:val="0"/>
                    <w:spacing w:line="300" w:lineRule="auto"/>
                    <w:jc w:val="center"/>
                    <w:rPr>
                      <w:rFonts w:ascii="宋体"/>
                      <w:b/>
                      <w:bCs/>
                    </w:rPr>
                  </w:pPr>
                  <w:r>
                    <w:rPr>
                      <w:rFonts w:hint="eastAsia" w:ascii="宋体"/>
                      <w:b/>
                      <w:bCs/>
                    </w:rPr>
                    <w:t>参与者排名</w:t>
                  </w:r>
                </w:p>
              </w:tc>
              <w:tc>
                <w:tcPr>
                  <w:tcW w:w="1728" w:type="dxa"/>
                  <w:vAlign w:val="center"/>
                </w:tcPr>
                <w:p>
                  <w:pPr>
                    <w:snapToGrid w:val="0"/>
                    <w:spacing w:line="300" w:lineRule="auto"/>
                    <w:jc w:val="center"/>
                    <w:rPr>
                      <w:rFonts w:ascii="宋体"/>
                      <w:b/>
                      <w:bCs/>
                    </w:rPr>
                  </w:pPr>
                  <w:r>
                    <w:rPr>
                      <w:rFonts w:hint="eastAsia" w:ascii="宋体"/>
                      <w:b/>
                      <w:bCs/>
                    </w:rPr>
                    <w:t>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736" w:type="dxa"/>
                  <w:vAlign w:val="center"/>
                </w:tcPr>
                <w:p>
                  <w:pPr>
                    <w:snapToGrid w:val="0"/>
                    <w:spacing w:line="300" w:lineRule="auto"/>
                    <w:jc w:val="center"/>
                    <w:rPr>
                      <w:rFonts w:ascii="宋体"/>
                    </w:rPr>
                  </w:pPr>
                  <w:r>
                    <w:rPr>
                      <w:rFonts w:hint="eastAsia" w:ascii="宋体"/>
                    </w:rPr>
                    <w:t>1</w:t>
                  </w:r>
                </w:p>
              </w:tc>
              <w:tc>
                <w:tcPr>
                  <w:tcW w:w="4819" w:type="dxa"/>
                  <w:vAlign w:val="center"/>
                </w:tcPr>
                <w:p>
                  <w:pPr>
                    <w:snapToGrid w:val="0"/>
                    <w:spacing w:line="300" w:lineRule="auto"/>
                    <w:jc w:val="center"/>
                    <w:rPr>
                      <w:rFonts w:ascii="宋体"/>
                    </w:rPr>
                  </w:pPr>
                  <w:r>
                    <w:rPr>
                      <w:rFonts w:hint="eastAsia" w:ascii="宋体"/>
                    </w:rPr>
                    <w:t>规范校外培训机构的理论探讨与政策走向</w:t>
                  </w:r>
                </w:p>
              </w:tc>
              <w:tc>
                <w:tcPr>
                  <w:tcW w:w="1418" w:type="dxa"/>
                  <w:vAlign w:val="center"/>
                </w:tcPr>
                <w:p>
                  <w:pPr>
                    <w:snapToGrid w:val="0"/>
                    <w:spacing w:line="300" w:lineRule="auto"/>
                    <w:jc w:val="center"/>
                    <w:rPr>
                      <w:rFonts w:ascii="宋体"/>
                    </w:rPr>
                  </w:pPr>
                  <w:r>
                    <w:rPr>
                      <w:rFonts w:hint="eastAsia" w:ascii="宋体"/>
                    </w:rPr>
                    <w:t>第一</w:t>
                  </w:r>
                </w:p>
              </w:tc>
              <w:tc>
                <w:tcPr>
                  <w:tcW w:w="1728" w:type="dxa"/>
                  <w:vAlign w:val="center"/>
                </w:tcPr>
                <w:p>
                  <w:pPr>
                    <w:snapToGrid w:val="0"/>
                    <w:spacing w:line="300" w:lineRule="auto"/>
                    <w:jc w:val="center"/>
                    <w:rPr>
                      <w:rFonts w:ascii="宋体"/>
                    </w:rPr>
                  </w:pPr>
                  <w:r>
                    <w:rPr>
                      <w:rFonts w:hint="eastAsia" w:ascii="宋体"/>
                    </w:rPr>
                    <w:t>CSSCI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736" w:type="dxa"/>
                  <w:vAlign w:val="center"/>
                </w:tcPr>
                <w:p>
                  <w:pPr>
                    <w:snapToGrid w:val="0"/>
                    <w:spacing w:line="300" w:lineRule="auto"/>
                    <w:jc w:val="center"/>
                    <w:rPr>
                      <w:rFonts w:ascii="宋体"/>
                    </w:rPr>
                  </w:pPr>
                  <w:r>
                    <w:rPr>
                      <w:rFonts w:hint="eastAsia" w:ascii="宋体"/>
                    </w:rPr>
                    <w:t>2</w:t>
                  </w:r>
                </w:p>
              </w:tc>
              <w:tc>
                <w:tcPr>
                  <w:tcW w:w="4819" w:type="dxa"/>
                  <w:vAlign w:val="center"/>
                </w:tcPr>
                <w:p>
                  <w:pPr>
                    <w:snapToGrid w:val="0"/>
                    <w:spacing w:line="300" w:lineRule="auto"/>
                    <w:jc w:val="center"/>
                    <w:rPr>
                      <w:rFonts w:ascii="宋体"/>
                    </w:rPr>
                  </w:pPr>
                  <w:r>
                    <w:rPr>
                      <w:rFonts w:hint="eastAsia" w:ascii="宋体"/>
                    </w:rPr>
                    <w:t>家长满意度与基础教育均衡发展——基于浙江省的调查与思考</w:t>
                  </w:r>
                </w:p>
              </w:tc>
              <w:tc>
                <w:tcPr>
                  <w:tcW w:w="1418" w:type="dxa"/>
                  <w:vAlign w:val="center"/>
                </w:tcPr>
                <w:p>
                  <w:pPr>
                    <w:snapToGrid w:val="0"/>
                    <w:spacing w:line="300" w:lineRule="auto"/>
                    <w:jc w:val="center"/>
                    <w:rPr>
                      <w:rFonts w:ascii="宋体"/>
                    </w:rPr>
                  </w:pPr>
                  <w:r>
                    <w:rPr>
                      <w:rFonts w:hint="eastAsia" w:ascii="宋体"/>
                    </w:rPr>
                    <w:t>第一</w:t>
                  </w:r>
                </w:p>
              </w:tc>
              <w:tc>
                <w:tcPr>
                  <w:tcW w:w="1728" w:type="dxa"/>
                  <w:vAlign w:val="center"/>
                </w:tcPr>
                <w:p>
                  <w:pPr>
                    <w:snapToGrid w:val="0"/>
                    <w:spacing w:line="300" w:lineRule="auto"/>
                    <w:jc w:val="center"/>
                    <w:rPr>
                      <w:rFonts w:ascii="宋体"/>
                    </w:rPr>
                  </w:pPr>
                  <w:r>
                    <w:rPr>
                      <w:rFonts w:hint="eastAsia" w:ascii="宋体"/>
                    </w:rPr>
                    <w:t>CSSCI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736" w:type="dxa"/>
                  <w:vAlign w:val="center"/>
                </w:tcPr>
                <w:p>
                  <w:pPr>
                    <w:snapToGrid w:val="0"/>
                    <w:spacing w:line="300" w:lineRule="auto"/>
                    <w:jc w:val="center"/>
                    <w:rPr>
                      <w:rFonts w:ascii="宋体"/>
                    </w:rPr>
                  </w:pPr>
                  <w:r>
                    <w:rPr>
                      <w:rFonts w:hint="eastAsia" w:ascii="宋体"/>
                    </w:rPr>
                    <w:t>3</w:t>
                  </w:r>
                </w:p>
              </w:tc>
              <w:tc>
                <w:tcPr>
                  <w:tcW w:w="4819" w:type="dxa"/>
                  <w:vAlign w:val="center"/>
                </w:tcPr>
                <w:p>
                  <w:pPr>
                    <w:snapToGrid w:val="0"/>
                    <w:spacing w:line="300" w:lineRule="auto"/>
                    <w:jc w:val="center"/>
                    <w:rPr>
                      <w:rFonts w:ascii="宋体"/>
                    </w:rPr>
                  </w:pPr>
                  <w:r>
                    <w:rPr>
                      <w:rFonts w:hint="eastAsia" w:ascii="宋体"/>
                    </w:rPr>
                    <w:t>师生交往中的媒介效应:回顾与展望</w:t>
                  </w:r>
                </w:p>
              </w:tc>
              <w:tc>
                <w:tcPr>
                  <w:tcW w:w="1418" w:type="dxa"/>
                  <w:vAlign w:val="center"/>
                </w:tcPr>
                <w:p>
                  <w:pPr>
                    <w:snapToGrid w:val="0"/>
                    <w:spacing w:line="300" w:lineRule="auto"/>
                    <w:jc w:val="center"/>
                    <w:rPr>
                      <w:rFonts w:ascii="宋体"/>
                    </w:rPr>
                  </w:pPr>
                  <w:r>
                    <w:rPr>
                      <w:rFonts w:hint="eastAsia" w:ascii="宋体"/>
                    </w:rPr>
                    <w:t>第一</w:t>
                  </w:r>
                </w:p>
              </w:tc>
              <w:tc>
                <w:tcPr>
                  <w:tcW w:w="1728" w:type="dxa"/>
                  <w:vAlign w:val="center"/>
                </w:tcPr>
                <w:p>
                  <w:pPr>
                    <w:snapToGrid w:val="0"/>
                    <w:spacing w:line="300" w:lineRule="auto"/>
                    <w:jc w:val="center"/>
                    <w:rPr>
                      <w:rFonts w:ascii="宋体"/>
                    </w:rPr>
                  </w:pPr>
                  <w:r>
                    <w:rPr>
                      <w:rFonts w:hint="eastAsia" w:ascii="宋体"/>
                    </w:rPr>
                    <w:t>CSSCI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736" w:type="dxa"/>
                  <w:vAlign w:val="center"/>
                </w:tcPr>
                <w:p>
                  <w:pPr>
                    <w:snapToGrid w:val="0"/>
                    <w:spacing w:line="300" w:lineRule="auto"/>
                    <w:jc w:val="center"/>
                    <w:rPr>
                      <w:rFonts w:ascii="宋体"/>
                    </w:rPr>
                  </w:pPr>
                  <w:r>
                    <w:rPr>
                      <w:rFonts w:hint="eastAsia" w:ascii="宋体"/>
                    </w:rPr>
                    <w:t>4</w:t>
                  </w:r>
                </w:p>
              </w:tc>
              <w:tc>
                <w:tcPr>
                  <w:tcW w:w="4819" w:type="dxa"/>
                  <w:vAlign w:val="center"/>
                </w:tcPr>
                <w:p>
                  <w:pPr>
                    <w:snapToGrid w:val="0"/>
                    <w:spacing w:line="300" w:lineRule="auto"/>
                    <w:jc w:val="center"/>
                    <w:rPr>
                      <w:rFonts w:ascii="宋体"/>
                    </w:rPr>
                  </w:pPr>
                  <w:r>
                    <w:rPr>
                      <w:rFonts w:hint="eastAsia" w:ascii="宋体"/>
                    </w:rPr>
                    <w:t>智能时代课堂教学的审视与反思</w:t>
                  </w:r>
                </w:p>
              </w:tc>
              <w:tc>
                <w:tcPr>
                  <w:tcW w:w="1418" w:type="dxa"/>
                  <w:vAlign w:val="center"/>
                </w:tcPr>
                <w:p>
                  <w:pPr>
                    <w:snapToGrid w:val="0"/>
                    <w:spacing w:line="300" w:lineRule="auto"/>
                    <w:jc w:val="center"/>
                    <w:rPr>
                      <w:rFonts w:ascii="宋体"/>
                    </w:rPr>
                  </w:pPr>
                  <w:r>
                    <w:rPr>
                      <w:rFonts w:hint="eastAsia" w:ascii="宋体"/>
                    </w:rPr>
                    <w:t>第一</w:t>
                  </w:r>
                </w:p>
              </w:tc>
              <w:tc>
                <w:tcPr>
                  <w:tcW w:w="1728" w:type="dxa"/>
                  <w:vAlign w:val="center"/>
                </w:tcPr>
                <w:p>
                  <w:pPr>
                    <w:snapToGrid w:val="0"/>
                    <w:spacing w:line="300" w:lineRule="auto"/>
                    <w:jc w:val="center"/>
                    <w:rPr>
                      <w:rFonts w:ascii="宋体"/>
                    </w:rPr>
                  </w:pPr>
                  <w:r>
                    <w:rPr>
                      <w:rFonts w:hint="eastAsia" w:ascii="宋体"/>
                    </w:rPr>
                    <w:t>北大核心</w:t>
                  </w:r>
                </w:p>
              </w:tc>
            </w:tr>
          </w:tbl>
          <w:p>
            <w:pPr>
              <w:snapToGrid w:val="0"/>
              <w:spacing w:line="300" w:lineRule="auto"/>
              <w:ind w:left="-107" w:leftChars="-51"/>
              <w:rPr>
                <w:rFonts w:ascii="宋体"/>
                <w:b/>
                <w:bCs/>
              </w:rPr>
            </w:pPr>
            <w:r>
              <w:rPr>
                <w:rFonts w:hint="eastAsia" w:ascii="宋体"/>
                <w:lang w:eastAsia="zh-CN"/>
              </w:rPr>
              <w:t>（</w:t>
            </w:r>
            <w:r>
              <w:rPr>
                <w:rFonts w:hint="eastAsia" w:ascii="宋体"/>
                <w:lang w:val="en-US" w:eastAsia="zh-CN"/>
              </w:rPr>
              <w:t>二</w:t>
            </w:r>
            <w:r>
              <w:rPr>
                <w:rFonts w:hint="eastAsia" w:ascii="宋体"/>
                <w:lang w:eastAsia="zh-CN"/>
              </w:rPr>
              <w:t>）</w:t>
            </w:r>
            <w:r>
              <w:rPr>
                <w:rFonts w:hint="eastAsia" w:ascii="宋体"/>
                <w:b/>
                <w:bCs/>
              </w:rPr>
              <w:t>本课题已做前期准备</w:t>
            </w:r>
          </w:p>
          <w:p>
            <w:pPr>
              <w:numPr>
                <w:ilvl w:val="255"/>
                <w:numId w:val="0"/>
              </w:numPr>
              <w:spacing w:line="288" w:lineRule="auto"/>
              <w:ind w:firstLine="420" w:firstLineChars="200"/>
              <w:rPr>
                <w:szCs w:val="21"/>
              </w:rPr>
            </w:pPr>
            <w:r>
              <w:rPr>
                <w:rFonts w:hint="eastAsia"/>
                <w:szCs w:val="21"/>
              </w:rPr>
              <w:t>本课题已做前期准备，是在双减政策出台后的2021年年底，通过百度指数搜索“培训机构”，设置时间范围为“减治政策”出台后的2018年3月1日到“双减政策”出台前的2021年6月30日，得到相应搜索指数和资讯指数等舆情数据，做进一步分析。其中，检索指数是以网民在百度的搜索量为数据基础，以关键词为统计对象，分析并计算出各个关键词在百度电脑和移动端网页搜索中搜索频次的加权。资讯指数是以百度智能分发和推荐内容数据为基础，将网民的阅读、评论、转发、点赞、不喜欢等行为的数量加权求和得出的。</w:t>
            </w:r>
          </w:p>
          <w:p>
            <w:pPr>
              <w:snapToGrid w:val="0"/>
              <w:spacing w:line="300" w:lineRule="auto"/>
              <w:ind w:left="-107" w:leftChars="-51" w:firstLine="420" w:firstLineChars="200"/>
              <w:rPr>
                <w:rFonts w:ascii="宋体"/>
              </w:rPr>
            </w:pPr>
            <w:r>
              <w:rPr>
                <w:rFonts w:hint="eastAsia"/>
                <w:szCs w:val="21"/>
              </w:rPr>
              <w:t>分析结果显示，网络舆情视角下的培训机构发展，从“减治政策”到“双减政策”的培训机构网络舆情，日均检索量为1227次，日均资讯量为111347条。总体体现出2018年2月“减治政策”出台一年左右受关注度较高，随后一年左右较低，近一年左右的受关注度又有所增高等特点（如图1所示）。若进一步结合近2年资讯量的大幅度增多，一定程度上会减少检索指数等舆情数据，这一特点则会更加明显。从一个侧面反映出，国家2021年7月出台“双减政策”正当其时。</w:t>
            </w:r>
          </w:p>
          <w:p>
            <w:pPr>
              <w:snapToGrid w:val="0"/>
              <w:spacing w:line="400" w:lineRule="exact"/>
              <w:ind w:firstLine="420" w:firstLineChars="200"/>
              <w:rPr>
                <w:rFonts w:hint="eastAsia" w:ascii="宋体"/>
                <w:b/>
                <w:bCs/>
              </w:rPr>
            </w:pPr>
            <w:r>
              <w:rPr>
                <w:rFonts w:hint="eastAsia" w:ascii="宋体"/>
              </w:rPr>
              <w:t>另外，基于如上数据，已写出的部分初稿有8000多字的《网络舆情视角下的校外培训机构发展及其多元规范治理》（含5个图和2个表）、8000多字的《双减政策引导下校外培训多元规范治理机制和发展路径》（含3个图和2个表）。</w:t>
            </w:r>
          </w:p>
          <w:p>
            <w:pPr>
              <w:snapToGrid w:val="0"/>
              <w:spacing w:line="400" w:lineRule="exact"/>
              <w:rPr>
                <w:rFonts w:ascii="宋体"/>
                <w:b/>
                <w:bCs/>
              </w:rPr>
            </w:pPr>
            <w:r>
              <w:rPr>
                <w:rFonts w:hint="eastAsia" w:ascii="宋体"/>
                <w:b/>
                <w:bCs/>
              </w:rPr>
              <w:t>五、参考文献</w:t>
            </w:r>
          </w:p>
          <w:p>
            <w:pPr>
              <w:snapToGrid w:val="0"/>
              <w:spacing w:line="300" w:lineRule="auto"/>
            </w:pPr>
            <w:r>
              <w:rPr>
                <w:rFonts w:asciiTheme="minorEastAsia" w:hAnsiTheme="minorEastAsia" w:eastAsiaTheme="minorEastAsia"/>
              </w:rPr>
              <w:t>[</w:t>
            </w:r>
            <w:r>
              <w:rPr>
                <w:rFonts w:hint="eastAsia" w:asciiTheme="minorEastAsia" w:hAnsiTheme="minorEastAsia" w:eastAsiaTheme="minorEastAsia"/>
                <w:lang w:val="en-US" w:eastAsia="zh-CN"/>
              </w:rPr>
              <w:t>1</w:t>
            </w:r>
            <w:r>
              <w:rPr>
                <w:rFonts w:asciiTheme="minorEastAsia" w:hAnsiTheme="minorEastAsia" w:eastAsiaTheme="minorEastAsia"/>
              </w:rPr>
              <w:t>]</w:t>
            </w:r>
            <w:r>
              <w:rPr>
                <w:rFonts w:hint="eastAsia"/>
              </w:rPr>
              <w:t>刘菁菁.东亚国家(地区)课外补习的政府监管之道——香港大学教育学院比较教育研究中心主任马克·贝磊教授专访[J].外国中小学教育,2014(10):1-6.</w:t>
            </w:r>
          </w:p>
          <w:p>
            <w:pPr>
              <w:snapToGrid w:val="0"/>
              <w:spacing w:line="300" w:lineRule="auto"/>
              <w:rPr>
                <w:rFonts w:hint="eastAsia" w:ascii="宋体"/>
              </w:rPr>
            </w:pPr>
            <w:r>
              <w:rPr>
                <w:rFonts w:ascii="宋体"/>
              </w:rPr>
              <w:t>[</w:t>
            </w:r>
            <w:r>
              <w:rPr>
                <w:rFonts w:hint="eastAsia" w:ascii="宋体"/>
                <w:lang w:val="en-US" w:eastAsia="zh-CN"/>
              </w:rPr>
              <w:t>2</w:t>
            </w:r>
            <w:r>
              <w:rPr>
                <w:rFonts w:ascii="宋体"/>
              </w:rPr>
              <w:t>]</w:t>
            </w:r>
            <w:r>
              <w:rPr>
                <w:rFonts w:hint="eastAsia" w:ascii="宋体"/>
              </w:rPr>
              <w:t>邹红军,柳海民.校园欺凌中的网络舆情演化及其应对——基于“中关村二小校园欺凌事件”的个案研究[J].教育发展研究,2018,38(12):42-48.</w:t>
            </w:r>
          </w:p>
          <w:p>
            <w:pPr>
              <w:snapToGrid w:val="0"/>
              <w:spacing w:line="300" w:lineRule="auto"/>
              <w:rPr>
                <w:rFonts w:hint="eastAsia"/>
              </w:rPr>
            </w:pPr>
            <w:r>
              <w:rPr>
                <w:rFonts w:asciiTheme="minorEastAsia" w:hAnsiTheme="minorEastAsia" w:eastAsiaTheme="minorEastAsia"/>
              </w:rPr>
              <w:t>[</w:t>
            </w:r>
            <w:r>
              <w:rPr>
                <w:rFonts w:hint="eastAsia" w:asciiTheme="minorEastAsia" w:hAnsiTheme="minorEastAsia" w:eastAsiaTheme="minorEastAsia"/>
                <w:lang w:val="en-US" w:eastAsia="zh-CN"/>
              </w:rPr>
              <w:t>3</w:t>
            </w:r>
            <w:r>
              <w:rPr>
                <w:rFonts w:asciiTheme="minorEastAsia" w:hAnsiTheme="minorEastAsia" w:eastAsiaTheme="minorEastAsia"/>
              </w:rPr>
              <w:t>]</w:t>
            </w:r>
            <w:r>
              <w:rPr>
                <w:rFonts w:hint="eastAsia"/>
              </w:rPr>
              <w:t>薛丹. 中国与新加坡影子教育的比较研究[D].陕西师范大学,2018.</w:t>
            </w:r>
          </w:p>
          <w:p>
            <w:pPr>
              <w:snapToGrid w:val="0"/>
              <w:spacing w:line="300" w:lineRule="auto"/>
              <w:rPr>
                <w:rFonts w:hint="eastAsia"/>
              </w:rPr>
            </w:pPr>
            <w:r>
              <w:rPr>
                <w:rFonts w:asciiTheme="minorEastAsia" w:hAnsiTheme="minorEastAsia" w:eastAsiaTheme="minorEastAsia"/>
              </w:rPr>
              <w:t>[</w:t>
            </w:r>
            <w:r>
              <w:rPr>
                <w:rFonts w:hint="eastAsia" w:asciiTheme="minorEastAsia" w:hAnsiTheme="minorEastAsia" w:eastAsiaTheme="minorEastAsia"/>
                <w:lang w:val="en-US" w:eastAsia="zh-CN"/>
              </w:rPr>
              <w:t>4</w:t>
            </w:r>
            <w:r>
              <w:rPr>
                <w:rFonts w:asciiTheme="minorEastAsia" w:hAnsiTheme="minorEastAsia" w:eastAsiaTheme="minorEastAsia"/>
              </w:rPr>
              <w:t>]</w:t>
            </w:r>
            <w:r>
              <w:rPr>
                <w:rFonts w:hint="eastAsia"/>
              </w:rPr>
              <w:t>马克·贝磊.欧洲地区影子教育研究:发展态势、动因及政策启示[J].全球教育展望,2020,49(02):35-61.</w:t>
            </w:r>
          </w:p>
          <w:p>
            <w:pPr>
              <w:snapToGrid w:val="0"/>
              <w:spacing w:line="300" w:lineRule="auto"/>
            </w:pPr>
            <w:r>
              <w:rPr>
                <w:rFonts w:asciiTheme="minorEastAsia" w:hAnsiTheme="minorEastAsia" w:eastAsiaTheme="minorEastAsia"/>
              </w:rPr>
              <w:t>[</w:t>
            </w:r>
            <w:r>
              <w:rPr>
                <w:rFonts w:hint="eastAsia" w:asciiTheme="minorEastAsia" w:hAnsiTheme="minorEastAsia" w:eastAsiaTheme="minorEastAsia"/>
                <w:lang w:val="en-US" w:eastAsia="zh-CN"/>
              </w:rPr>
              <w:t>5</w:t>
            </w:r>
            <w:r>
              <w:rPr>
                <w:rFonts w:asciiTheme="minorEastAsia" w:hAnsiTheme="minorEastAsia" w:eastAsiaTheme="minorEastAsia"/>
              </w:rPr>
              <w:t>]</w:t>
            </w:r>
            <w:r>
              <w:rPr>
                <w:rFonts w:hint="eastAsia"/>
              </w:rPr>
              <w:t>胡咏梅.影子教育研究：教育经济学研究新领域——对薛海平教授新著《我国基础教育课外补习研究》的评介[J].教育经济评论,2021,6(03):120-128.</w:t>
            </w:r>
          </w:p>
          <w:p>
            <w:pPr>
              <w:snapToGrid w:val="0"/>
              <w:spacing w:line="300" w:lineRule="auto"/>
            </w:pPr>
            <w:r>
              <w:rPr>
                <w:rFonts w:asciiTheme="minorEastAsia" w:hAnsiTheme="minorEastAsia" w:eastAsiaTheme="minorEastAsia"/>
              </w:rPr>
              <w:t>[</w:t>
            </w:r>
            <w:r>
              <w:rPr>
                <w:rFonts w:hint="eastAsia" w:asciiTheme="minorEastAsia" w:hAnsiTheme="minorEastAsia" w:eastAsiaTheme="minorEastAsia"/>
                <w:lang w:val="en-US" w:eastAsia="zh-CN"/>
              </w:rPr>
              <w:t>6</w:t>
            </w:r>
            <w:r>
              <w:rPr>
                <w:rFonts w:asciiTheme="minorEastAsia" w:hAnsiTheme="minorEastAsia" w:eastAsiaTheme="minorEastAsia"/>
              </w:rPr>
              <w:t>]</w:t>
            </w:r>
            <w:r>
              <w:rPr>
                <w:rFonts w:hint="eastAsia"/>
              </w:rPr>
              <w:t>Yusoff R, Zaman H, Ahamd A．Evaluation of user acceptance of mixed reality technology[J].Australasian Journal of Educational Technology,2011(8):1369-1387.</w:t>
            </w:r>
          </w:p>
          <w:p>
            <w:pPr>
              <w:snapToGrid w:val="0"/>
              <w:spacing w:line="300" w:lineRule="auto"/>
            </w:pPr>
            <w:r>
              <w:rPr>
                <w:rFonts w:asciiTheme="minorEastAsia" w:hAnsiTheme="minorEastAsia" w:eastAsiaTheme="minorEastAsia"/>
              </w:rPr>
              <w:t>[</w:t>
            </w:r>
            <w:r>
              <w:rPr>
                <w:rFonts w:hint="eastAsia" w:asciiTheme="minorEastAsia" w:hAnsiTheme="minorEastAsia" w:eastAsiaTheme="minorEastAsia"/>
                <w:lang w:val="en-US" w:eastAsia="zh-CN"/>
              </w:rPr>
              <w:t>7</w:t>
            </w:r>
            <w:r>
              <w:rPr>
                <w:rFonts w:asciiTheme="minorEastAsia" w:hAnsiTheme="minorEastAsia" w:eastAsiaTheme="minorEastAsia"/>
              </w:rPr>
              <w:t>]</w:t>
            </w:r>
            <w:r>
              <w:rPr>
                <w:rFonts w:hint="eastAsia"/>
              </w:rPr>
              <w:t>Kim Y C, Jo J, Jung J H. The education of academically gifted students in South Korea: Innovative approaches in shadow education[J]. European Journal of Education, 2020, 55(3): 376-387.</w:t>
            </w:r>
          </w:p>
          <w:p>
            <w:pPr>
              <w:snapToGrid w:val="0"/>
              <w:spacing w:line="300" w:lineRule="auto"/>
            </w:pPr>
            <w:r>
              <w:rPr>
                <w:rFonts w:asciiTheme="minorEastAsia" w:hAnsiTheme="minorEastAsia" w:eastAsiaTheme="minorEastAsia"/>
              </w:rPr>
              <w:t>[</w:t>
            </w:r>
            <w:r>
              <w:rPr>
                <w:rFonts w:hint="eastAsia" w:asciiTheme="minorEastAsia" w:hAnsiTheme="minorEastAsia" w:eastAsiaTheme="minorEastAsia"/>
                <w:lang w:val="en-US" w:eastAsia="zh-CN"/>
              </w:rPr>
              <w:t>8</w:t>
            </w:r>
            <w:r>
              <w:rPr>
                <w:rFonts w:asciiTheme="minorEastAsia" w:hAnsiTheme="minorEastAsia" w:eastAsiaTheme="minorEastAsia"/>
              </w:rPr>
              <w:t>]</w:t>
            </w:r>
            <w:r>
              <w:rPr>
                <w:rFonts w:hint="eastAsia"/>
              </w:rPr>
              <w:t>Zhang W, Bray M. Comparative research on shadow education: Achievements, challenges, and the agenda ahead[J]. European Journal of Education, 2020, 55(3): 322-341.</w:t>
            </w:r>
          </w:p>
          <w:p>
            <w:pPr>
              <w:snapToGrid w:val="0"/>
              <w:spacing w:line="300" w:lineRule="auto"/>
              <w:rPr>
                <w:rFonts w:hint="eastAsia"/>
              </w:rPr>
            </w:pPr>
            <w:r>
              <w:rPr>
                <w:rFonts w:asciiTheme="minorEastAsia" w:hAnsiTheme="minorEastAsia" w:eastAsiaTheme="minorEastAsia"/>
              </w:rPr>
              <w:t>[</w:t>
            </w:r>
            <w:r>
              <w:rPr>
                <w:rFonts w:hint="eastAsia" w:asciiTheme="minorEastAsia" w:hAnsiTheme="minorEastAsia" w:eastAsiaTheme="minorEastAsia"/>
                <w:lang w:val="en-US" w:eastAsia="zh-CN"/>
              </w:rPr>
              <w:t>9</w:t>
            </w:r>
            <w:r>
              <w:rPr>
                <w:rFonts w:asciiTheme="minorEastAsia" w:hAnsiTheme="minorEastAsia" w:eastAsiaTheme="minorEastAsia"/>
              </w:rPr>
              <w:t>]</w:t>
            </w:r>
            <w:r>
              <w:rPr>
                <w:rFonts w:hint="eastAsia"/>
              </w:rPr>
              <w:t>Teo P, Koh D. Shadow education in Singapore: A Deweyan perspective[J]. Educational Philosophy and Theory, 2020, 52(8): 869-879.</w:t>
            </w:r>
          </w:p>
          <w:p>
            <w:pPr>
              <w:snapToGrid w:val="0"/>
              <w:spacing w:line="300" w:lineRule="auto"/>
              <w:rPr>
                <w:rFonts w:hint="eastAsia"/>
              </w:rPr>
            </w:pPr>
            <w:r>
              <w:rPr>
                <w:rFonts w:asciiTheme="minorEastAsia" w:hAnsiTheme="minorEastAsia" w:eastAsiaTheme="minorEastAsia"/>
              </w:rPr>
              <w:t>[</w:t>
            </w:r>
            <w:r>
              <w:rPr>
                <w:rFonts w:hint="eastAsia" w:asciiTheme="minorEastAsia" w:hAnsiTheme="minorEastAsia" w:eastAsiaTheme="minorEastAsia"/>
                <w:lang w:val="en-US" w:eastAsia="zh-CN"/>
              </w:rPr>
              <w:t>10</w:t>
            </w:r>
            <w:r>
              <w:rPr>
                <w:rFonts w:asciiTheme="minorEastAsia" w:hAnsiTheme="minorEastAsia" w:eastAsiaTheme="minorEastAsia"/>
              </w:rPr>
              <w:t>]</w:t>
            </w:r>
            <w:r>
              <w:rPr>
                <w:rFonts w:hint="eastAsia"/>
              </w:rPr>
              <w:t>Hartmann E. The shadow sovereigns of global education policy: a critique of the world society approach[J]. Journal of Education Policy, 2021, 36(3): 367-392.</w:t>
            </w:r>
          </w:p>
          <w:p>
            <w:pPr>
              <w:snapToGrid w:val="0"/>
              <w:rPr>
                <w:rFonts w:ascii="宋体"/>
              </w:rPr>
            </w:pPr>
          </w:p>
          <w:p>
            <w:pPr>
              <w:snapToGrid w:val="0"/>
              <w:rPr>
                <w:rFonts w:ascii="宋体"/>
              </w:rPr>
            </w:pPr>
          </w:p>
        </w:tc>
      </w:tr>
    </w:tbl>
    <w:p>
      <w:r>
        <w:rPr>
          <w:rFonts w:hint="eastAsia" w:ascii="宋体"/>
        </w:rPr>
        <w:t>注：活页中不能出现申请者个人信息、发表刊物或出版社名称。与本课题研究无关的成果不能填写；主持或参加的各类课题不能作为前期成果填写；课题负责人和课题组成员的成果要分开填写；课题负责人的成果不列入参考文献。</w:t>
      </w:r>
    </w:p>
    <w:sectPr>
      <w:pgSz w:w="11906" w:h="16838"/>
      <w:pgMar w:top="1985"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742"/>
    <w:rsid w:val="00021243"/>
    <w:rsid w:val="000441E5"/>
    <w:rsid w:val="00083978"/>
    <w:rsid w:val="00087DB5"/>
    <w:rsid w:val="0009307D"/>
    <w:rsid w:val="000C0FA8"/>
    <w:rsid w:val="000C604E"/>
    <w:rsid w:val="000C729C"/>
    <w:rsid w:val="000D420A"/>
    <w:rsid w:val="000E1601"/>
    <w:rsid w:val="000F0742"/>
    <w:rsid w:val="000F41FD"/>
    <w:rsid w:val="001143C9"/>
    <w:rsid w:val="001204CE"/>
    <w:rsid w:val="001228B6"/>
    <w:rsid w:val="00126610"/>
    <w:rsid w:val="001666A6"/>
    <w:rsid w:val="00166C59"/>
    <w:rsid w:val="00176827"/>
    <w:rsid w:val="001B4032"/>
    <w:rsid w:val="001D0272"/>
    <w:rsid w:val="001F2983"/>
    <w:rsid w:val="001F392F"/>
    <w:rsid w:val="00222AC8"/>
    <w:rsid w:val="00226CDE"/>
    <w:rsid w:val="00236077"/>
    <w:rsid w:val="00247B68"/>
    <w:rsid w:val="002508A4"/>
    <w:rsid w:val="002579FD"/>
    <w:rsid w:val="00297BA5"/>
    <w:rsid w:val="002C2600"/>
    <w:rsid w:val="002C7E31"/>
    <w:rsid w:val="002D1C9D"/>
    <w:rsid w:val="002D3483"/>
    <w:rsid w:val="002D4791"/>
    <w:rsid w:val="002E47E9"/>
    <w:rsid w:val="002E70DD"/>
    <w:rsid w:val="002F05D5"/>
    <w:rsid w:val="002F33DE"/>
    <w:rsid w:val="0030057A"/>
    <w:rsid w:val="00320FC3"/>
    <w:rsid w:val="00341547"/>
    <w:rsid w:val="0036296A"/>
    <w:rsid w:val="0037131F"/>
    <w:rsid w:val="003B7300"/>
    <w:rsid w:val="003D404C"/>
    <w:rsid w:val="003E3254"/>
    <w:rsid w:val="003E39F3"/>
    <w:rsid w:val="003F1CB2"/>
    <w:rsid w:val="00400ACB"/>
    <w:rsid w:val="00410F17"/>
    <w:rsid w:val="004348DE"/>
    <w:rsid w:val="00435415"/>
    <w:rsid w:val="0044785B"/>
    <w:rsid w:val="00465094"/>
    <w:rsid w:val="004654DA"/>
    <w:rsid w:val="0047120A"/>
    <w:rsid w:val="004736B2"/>
    <w:rsid w:val="0049395C"/>
    <w:rsid w:val="004A4354"/>
    <w:rsid w:val="004C0472"/>
    <w:rsid w:val="004D0222"/>
    <w:rsid w:val="004F6613"/>
    <w:rsid w:val="005143BD"/>
    <w:rsid w:val="00515C91"/>
    <w:rsid w:val="00515F28"/>
    <w:rsid w:val="005246EA"/>
    <w:rsid w:val="0053114F"/>
    <w:rsid w:val="00536C03"/>
    <w:rsid w:val="00547BB9"/>
    <w:rsid w:val="005508ED"/>
    <w:rsid w:val="00551EF3"/>
    <w:rsid w:val="005645E3"/>
    <w:rsid w:val="00575066"/>
    <w:rsid w:val="00576997"/>
    <w:rsid w:val="00585A65"/>
    <w:rsid w:val="005877CB"/>
    <w:rsid w:val="005A06EB"/>
    <w:rsid w:val="005B4EE2"/>
    <w:rsid w:val="005B6CE1"/>
    <w:rsid w:val="005C3A27"/>
    <w:rsid w:val="005D0AA6"/>
    <w:rsid w:val="005D27A0"/>
    <w:rsid w:val="005D63D4"/>
    <w:rsid w:val="005E188F"/>
    <w:rsid w:val="005F1DE3"/>
    <w:rsid w:val="005F3385"/>
    <w:rsid w:val="00607D4D"/>
    <w:rsid w:val="00607F70"/>
    <w:rsid w:val="006105E7"/>
    <w:rsid w:val="00636B6B"/>
    <w:rsid w:val="00665F52"/>
    <w:rsid w:val="00675EB5"/>
    <w:rsid w:val="00680114"/>
    <w:rsid w:val="006815AB"/>
    <w:rsid w:val="00685F87"/>
    <w:rsid w:val="0069100B"/>
    <w:rsid w:val="00691E6D"/>
    <w:rsid w:val="006A042A"/>
    <w:rsid w:val="006A37DB"/>
    <w:rsid w:val="006A4736"/>
    <w:rsid w:val="006D1309"/>
    <w:rsid w:val="006D27EA"/>
    <w:rsid w:val="006F789F"/>
    <w:rsid w:val="0071293D"/>
    <w:rsid w:val="0071693D"/>
    <w:rsid w:val="00721702"/>
    <w:rsid w:val="00734CFD"/>
    <w:rsid w:val="00755886"/>
    <w:rsid w:val="00762890"/>
    <w:rsid w:val="00764BB4"/>
    <w:rsid w:val="00772F15"/>
    <w:rsid w:val="00775A18"/>
    <w:rsid w:val="00795376"/>
    <w:rsid w:val="00795B35"/>
    <w:rsid w:val="007A42CF"/>
    <w:rsid w:val="007C56EE"/>
    <w:rsid w:val="007E76A5"/>
    <w:rsid w:val="007F3DDF"/>
    <w:rsid w:val="00801790"/>
    <w:rsid w:val="00810846"/>
    <w:rsid w:val="00814F97"/>
    <w:rsid w:val="008218FC"/>
    <w:rsid w:val="008315F8"/>
    <w:rsid w:val="00843570"/>
    <w:rsid w:val="00846795"/>
    <w:rsid w:val="008879C4"/>
    <w:rsid w:val="008C2776"/>
    <w:rsid w:val="008D044C"/>
    <w:rsid w:val="00902A00"/>
    <w:rsid w:val="009057E0"/>
    <w:rsid w:val="00911952"/>
    <w:rsid w:val="00925ACF"/>
    <w:rsid w:val="00953B1C"/>
    <w:rsid w:val="00954F00"/>
    <w:rsid w:val="00963EA4"/>
    <w:rsid w:val="00964772"/>
    <w:rsid w:val="00993F2A"/>
    <w:rsid w:val="00994807"/>
    <w:rsid w:val="009A1B4C"/>
    <w:rsid w:val="009A3849"/>
    <w:rsid w:val="009C5DEB"/>
    <w:rsid w:val="009C7E43"/>
    <w:rsid w:val="009F6C3C"/>
    <w:rsid w:val="00A1460D"/>
    <w:rsid w:val="00A23E47"/>
    <w:rsid w:val="00A376B9"/>
    <w:rsid w:val="00A47286"/>
    <w:rsid w:val="00A80165"/>
    <w:rsid w:val="00A83886"/>
    <w:rsid w:val="00A92587"/>
    <w:rsid w:val="00A96F97"/>
    <w:rsid w:val="00AA1E46"/>
    <w:rsid w:val="00AA1F08"/>
    <w:rsid w:val="00AA4E1B"/>
    <w:rsid w:val="00AC7490"/>
    <w:rsid w:val="00AD5898"/>
    <w:rsid w:val="00AE0978"/>
    <w:rsid w:val="00AF7859"/>
    <w:rsid w:val="00B051FB"/>
    <w:rsid w:val="00B2219C"/>
    <w:rsid w:val="00B456A3"/>
    <w:rsid w:val="00B503EF"/>
    <w:rsid w:val="00B5155B"/>
    <w:rsid w:val="00B63459"/>
    <w:rsid w:val="00B67DBD"/>
    <w:rsid w:val="00B72A17"/>
    <w:rsid w:val="00B72CEB"/>
    <w:rsid w:val="00B75AB1"/>
    <w:rsid w:val="00BA2B32"/>
    <w:rsid w:val="00BC41E2"/>
    <w:rsid w:val="00BF5AAB"/>
    <w:rsid w:val="00BF78BA"/>
    <w:rsid w:val="00C146AD"/>
    <w:rsid w:val="00C174C3"/>
    <w:rsid w:val="00C2560D"/>
    <w:rsid w:val="00C33E1B"/>
    <w:rsid w:val="00C406A7"/>
    <w:rsid w:val="00C42FEA"/>
    <w:rsid w:val="00C45BF8"/>
    <w:rsid w:val="00C56010"/>
    <w:rsid w:val="00C616E3"/>
    <w:rsid w:val="00C81BA5"/>
    <w:rsid w:val="00CA4A81"/>
    <w:rsid w:val="00CA4B1D"/>
    <w:rsid w:val="00CB63E0"/>
    <w:rsid w:val="00CD156B"/>
    <w:rsid w:val="00CE7363"/>
    <w:rsid w:val="00D003EC"/>
    <w:rsid w:val="00D11B9E"/>
    <w:rsid w:val="00D1279F"/>
    <w:rsid w:val="00D13A5B"/>
    <w:rsid w:val="00D2248C"/>
    <w:rsid w:val="00D30E70"/>
    <w:rsid w:val="00D5275A"/>
    <w:rsid w:val="00D534ED"/>
    <w:rsid w:val="00D66C57"/>
    <w:rsid w:val="00D808A3"/>
    <w:rsid w:val="00D83B3B"/>
    <w:rsid w:val="00D861F1"/>
    <w:rsid w:val="00D87461"/>
    <w:rsid w:val="00DD7F35"/>
    <w:rsid w:val="00DE0BA0"/>
    <w:rsid w:val="00DF259C"/>
    <w:rsid w:val="00DF45D7"/>
    <w:rsid w:val="00E10884"/>
    <w:rsid w:val="00E10B57"/>
    <w:rsid w:val="00E1572A"/>
    <w:rsid w:val="00E4076F"/>
    <w:rsid w:val="00E410DA"/>
    <w:rsid w:val="00E45625"/>
    <w:rsid w:val="00E468EC"/>
    <w:rsid w:val="00E717A7"/>
    <w:rsid w:val="00E76D2C"/>
    <w:rsid w:val="00E80491"/>
    <w:rsid w:val="00E807FC"/>
    <w:rsid w:val="00E8427B"/>
    <w:rsid w:val="00E94CA2"/>
    <w:rsid w:val="00EB2564"/>
    <w:rsid w:val="00EB5C29"/>
    <w:rsid w:val="00EC1C19"/>
    <w:rsid w:val="00EF79DB"/>
    <w:rsid w:val="00F033A6"/>
    <w:rsid w:val="00F45EE3"/>
    <w:rsid w:val="00F47B32"/>
    <w:rsid w:val="00F57ED4"/>
    <w:rsid w:val="00F66DDC"/>
    <w:rsid w:val="00F80A74"/>
    <w:rsid w:val="00F810C7"/>
    <w:rsid w:val="00F8606C"/>
    <w:rsid w:val="00F91BC1"/>
    <w:rsid w:val="00F94AEE"/>
    <w:rsid w:val="00F94FAB"/>
    <w:rsid w:val="00FA1860"/>
    <w:rsid w:val="00FA3356"/>
    <w:rsid w:val="00FA422B"/>
    <w:rsid w:val="00FD2DAD"/>
    <w:rsid w:val="00FD3A09"/>
    <w:rsid w:val="00FF48FF"/>
    <w:rsid w:val="18E42B68"/>
    <w:rsid w:val="50AD31F3"/>
    <w:rsid w:val="5C3A1D29"/>
    <w:rsid w:val="69F33FCB"/>
    <w:rsid w:val="6F51552C"/>
    <w:rsid w:val="797035E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0" w:semiHidden="0" w:name="footnote text"/>
    <w:lsdException w:uiPriority="99" w:name="annotation text"/>
    <w:lsdException w:qFormat="1" w:uiPriority="99" w:name="header"/>
    <w:lsdException w:qFormat="1" w:uiPriority="99"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unhideWhenUsed/>
    <w:qFormat/>
    <w:uiPriority w:val="35"/>
    <w:rPr>
      <w:rFonts w:eastAsia="黑体" w:asciiTheme="majorHAnsi" w:hAnsiTheme="majorHAnsi" w:cstheme="majorBidi"/>
      <w:sz w:val="20"/>
      <w:szCs w:val="20"/>
    </w:rPr>
  </w:style>
  <w:style w:type="paragraph" w:styleId="3">
    <w:name w:val="Date"/>
    <w:basedOn w:val="1"/>
    <w:next w:val="1"/>
    <w:link w:val="13"/>
    <w:semiHidden/>
    <w:unhideWhenUsed/>
    <w:qFormat/>
    <w:uiPriority w:val="99"/>
    <w:pPr>
      <w:ind w:left="100" w:leftChars="2500"/>
    </w:pPr>
  </w:style>
  <w:style w:type="paragraph" w:styleId="4">
    <w:name w:val="footer"/>
    <w:basedOn w:val="1"/>
    <w:link w:val="12"/>
    <w:semiHidden/>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footnote text"/>
    <w:basedOn w:val="1"/>
    <w:link w:val="14"/>
    <w:unhideWhenUsed/>
    <w:qFormat/>
    <w:uiPriority w:val="0"/>
    <w:pPr>
      <w:snapToGrid w:val="0"/>
      <w:jc w:val="left"/>
    </w:pPr>
    <w:rPr>
      <w:sz w:val="18"/>
      <w:szCs w:val="18"/>
    </w:rPr>
  </w:style>
  <w:style w:type="table" w:styleId="8">
    <w:name w:val="Table Grid"/>
    <w:basedOn w:val="7"/>
    <w:unhideWhenUse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footnote reference"/>
    <w:basedOn w:val="9"/>
    <w:semiHidden/>
    <w:unhideWhenUsed/>
    <w:qFormat/>
    <w:uiPriority w:val="99"/>
    <w:rPr>
      <w:vertAlign w:val="superscript"/>
    </w:rPr>
  </w:style>
  <w:style w:type="character" w:customStyle="1" w:styleId="11">
    <w:name w:val="页眉 字符"/>
    <w:basedOn w:val="9"/>
    <w:link w:val="5"/>
    <w:semiHidden/>
    <w:qFormat/>
    <w:uiPriority w:val="99"/>
    <w:rPr>
      <w:rFonts w:ascii="Times New Roman" w:hAnsi="Times New Roman" w:eastAsia="宋体" w:cs="Times New Roman"/>
      <w:sz w:val="18"/>
      <w:szCs w:val="18"/>
    </w:rPr>
  </w:style>
  <w:style w:type="character" w:customStyle="1" w:styleId="12">
    <w:name w:val="页脚 字符"/>
    <w:basedOn w:val="9"/>
    <w:link w:val="4"/>
    <w:semiHidden/>
    <w:qFormat/>
    <w:uiPriority w:val="99"/>
    <w:rPr>
      <w:rFonts w:ascii="Times New Roman" w:hAnsi="Times New Roman" w:eastAsia="宋体" w:cs="Times New Roman"/>
      <w:sz w:val="18"/>
      <w:szCs w:val="18"/>
    </w:rPr>
  </w:style>
  <w:style w:type="character" w:customStyle="1" w:styleId="13">
    <w:name w:val="日期 字符"/>
    <w:basedOn w:val="9"/>
    <w:link w:val="3"/>
    <w:semiHidden/>
    <w:qFormat/>
    <w:uiPriority w:val="99"/>
    <w:rPr>
      <w:rFonts w:ascii="Times New Roman" w:hAnsi="Times New Roman" w:eastAsia="宋体" w:cs="Times New Roman"/>
      <w:szCs w:val="24"/>
    </w:rPr>
  </w:style>
  <w:style w:type="character" w:customStyle="1" w:styleId="14">
    <w:name w:val="脚注文本 字符"/>
    <w:basedOn w:val="9"/>
    <w:link w:val="6"/>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GB.XSL" StyleName="GB7714" Version="2005"/>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FCAA96-B05B-45B1-9E52-D67F00455A18}">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15</Pages>
  <Words>1451</Words>
  <Characters>8276</Characters>
  <Lines>68</Lines>
  <Paragraphs>19</Paragraphs>
  <TotalTime>1</TotalTime>
  <ScaleCrop>false</ScaleCrop>
  <LinksUpToDate>false</LinksUpToDate>
  <CharactersWithSpaces>9708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2022-02-10T02:21:00Z</dcterms:created>
  <dc:creator>admin</dc:creator>
  <cp:lastModifiedBy>Jijian Lu</cp:lastModifiedBy>
  <cp:lastPrinted>2022-02-11T01:27:00Z</cp:lastPrinted>
  <dcterms:modified xsi:type="dcterms:W3CDTF">2022-03-21T08:04:39Z</dcterms:modified>
  <cp:revision>192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370315C79112477493C980C705871E26</vt:lpwstr>
  </property>
</Properties>
</file>