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jc w:val="center"/>
        <w:tblLayout w:type="fixed"/>
        <w:tblCellMar>
          <w:top w:w="0" w:type="dxa"/>
          <w:left w:w="108" w:type="dxa"/>
          <w:bottom w:w="0" w:type="dxa"/>
          <w:right w:w="108" w:type="dxa"/>
        </w:tblCellMar>
      </w:tblPr>
      <w:tblGrid>
        <w:gridCol w:w="1522"/>
        <w:gridCol w:w="2037"/>
        <w:gridCol w:w="9829"/>
      </w:tblGrid>
      <w:tr>
        <w:tblPrEx>
          <w:tblCellMar>
            <w:top w:w="0" w:type="dxa"/>
            <w:left w:w="108" w:type="dxa"/>
            <w:bottom w:w="0" w:type="dxa"/>
            <w:right w:w="108" w:type="dxa"/>
          </w:tblCellMar>
        </w:tblPrEx>
        <w:trPr>
          <w:trHeight w:val="810" w:hRule="atLeast"/>
          <w:jc w:val="center"/>
        </w:trPr>
        <w:tc>
          <w:tcPr>
            <w:tcW w:w="13388" w:type="dxa"/>
            <w:gridSpan w:val="3"/>
            <w:tcBorders>
              <w:top w:val="nil"/>
              <w:left w:val="nil"/>
              <w:bottom w:val="nil"/>
              <w:right w:val="nil"/>
            </w:tcBorders>
            <w:noWrap/>
            <w:vAlign w:val="center"/>
          </w:tcPr>
          <w:p>
            <w:pPr>
              <w:spacing w:line="400" w:lineRule="exact"/>
              <w:jc w:val="left"/>
              <w:rPr>
                <w:rFonts w:hint="eastAsia" w:eastAsia="方正小标宋简体"/>
                <w:kern w:val="0"/>
                <w:sz w:val="28"/>
                <w:szCs w:val="28"/>
              </w:rPr>
            </w:pPr>
            <w:r>
              <w:rPr>
                <w:rFonts w:hint="eastAsia" w:ascii="仿宋_GB2312" w:hAnsi="宋体" w:eastAsia="仿宋_GB2312" w:cs="宋体"/>
                <w:sz w:val="28"/>
                <w:szCs w:val="28"/>
              </w:rPr>
              <w:t>附件1</w:t>
            </w:r>
          </w:p>
          <w:p>
            <w:pPr>
              <w:widowControl/>
              <w:jc w:val="center"/>
              <w:rPr>
                <w:rFonts w:eastAsia="方正小标宋简体"/>
                <w:kern w:val="0"/>
                <w:sz w:val="36"/>
                <w:szCs w:val="36"/>
              </w:rPr>
            </w:pPr>
            <w:bookmarkStart w:id="0" w:name="_GoBack"/>
            <w:r>
              <w:rPr>
                <w:rFonts w:hint="eastAsia" w:eastAsia="方正小标宋简体"/>
                <w:kern w:val="0"/>
                <w:sz w:val="36"/>
                <w:szCs w:val="36"/>
              </w:rPr>
              <w:t>高校院（系）级单位党组织建设标准（试行）</w:t>
            </w:r>
          </w:p>
          <w:bookmarkEnd w:id="0"/>
          <w:p>
            <w:pPr>
              <w:widowControl/>
              <w:jc w:val="center"/>
              <w:rPr>
                <w:rFonts w:eastAsia="方正小标宋简体"/>
                <w:kern w:val="0"/>
                <w:sz w:val="32"/>
                <w:szCs w:val="32"/>
              </w:rPr>
            </w:pPr>
          </w:p>
        </w:tc>
      </w:tr>
      <w:tr>
        <w:tblPrEx>
          <w:tblCellMar>
            <w:top w:w="0" w:type="dxa"/>
            <w:left w:w="108" w:type="dxa"/>
            <w:bottom w:w="0" w:type="dxa"/>
            <w:right w:w="108" w:type="dxa"/>
          </w:tblCellMar>
        </w:tblPrEx>
        <w:trPr>
          <w:trHeight w:val="605" w:hRule="atLeast"/>
          <w:jc w:val="center"/>
        </w:trPr>
        <w:tc>
          <w:tcPr>
            <w:tcW w:w="1522" w:type="dxa"/>
            <w:tcBorders>
              <w:top w:val="single" w:color="auto" w:sz="8" w:space="0"/>
              <w:left w:val="single" w:color="auto" w:sz="8" w:space="0"/>
              <w:bottom w:val="single" w:color="auto" w:sz="4" w:space="0"/>
              <w:right w:val="single" w:color="auto" w:sz="4" w:space="0"/>
            </w:tcBorders>
            <w:noWrap/>
            <w:vAlign w:val="center"/>
          </w:tcPr>
          <w:p>
            <w:pPr>
              <w:widowControl/>
              <w:jc w:val="center"/>
              <w:rPr>
                <w:kern w:val="0"/>
                <w:sz w:val="28"/>
                <w:szCs w:val="28"/>
              </w:rPr>
            </w:pPr>
            <w:r>
              <w:rPr>
                <w:rFonts w:hint="eastAsia" w:eastAsia="黑体"/>
                <w:kern w:val="0"/>
                <w:sz w:val="28"/>
                <w:szCs w:val="28"/>
              </w:rPr>
              <w:t>一级指标</w:t>
            </w:r>
          </w:p>
        </w:tc>
        <w:tc>
          <w:tcPr>
            <w:tcW w:w="2037" w:type="dxa"/>
            <w:tcBorders>
              <w:top w:val="single" w:color="auto" w:sz="8" w:space="0"/>
              <w:left w:val="nil"/>
              <w:bottom w:val="single" w:color="auto" w:sz="4" w:space="0"/>
              <w:right w:val="single" w:color="auto" w:sz="4" w:space="0"/>
            </w:tcBorders>
            <w:noWrap w:val="0"/>
            <w:vAlign w:val="center"/>
          </w:tcPr>
          <w:p>
            <w:pPr>
              <w:widowControl/>
              <w:jc w:val="center"/>
              <w:rPr>
                <w:kern w:val="0"/>
                <w:sz w:val="28"/>
                <w:szCs w:val="28"/>
              </w:rPr>
            </w:pPr>
            <w:r>
              <w:rPr>
                <w:rFonts w:hint="eastAsia" w:eastAsia="黑体"/>
                <w:kern w:val="0"/>
                <w:sz w:val="28"/>
                <w:szCs w:val="28"/>
              </w:rPr>
              <w:t>二级指标</w:t>
            </w:r>
          </w:p>
        </w:tc>
        <w:tc>
          <w:tcPr>
            <w:tcW w:w="9829" w:type="dxa"/>
            <w:tcBorders>
              <w:top w:val="single" w:color="auto" w:sz="8" w:space="0"/>
              <w:left w:val="nil"/>
              <w:bottom w:val="single" w:color="auto" w:sz="4" w:space="0"/>
              <w:right w:val="single" w:color="auto" w:sz="8" w:space="0"/>
            </w:tcBorders>
            <w:noWrap/>
            <w:vAlign w:val="center"/>
          </w:tcPr>
          <w:p>
            <w:pPr>
              <w:widowControl/>
              <w:jc w:val="center"/>
              <w:rPr>
                <w:rFonts w:eastAsia="黑体"/>
                <w:kern w:val="0"/>
                <w:sz w:val="28"/>
                <w:szCs w:val="28"/>
              </w:rPr>
            </w:pPr>
            <w:r>
              <w:rPr>
                <w:rFonts w:hint="eastAsia" w:eastAsia="黑体"/>
                <w:kern w:val="0"/>
                <w:sz w:val="28"/>
                <w:szCs w:val="28"/>
              </w:rPr>
              <w:t>建设内容</w:t>
            </w:r>
          </w:p>
        </w:tc>
      </w:tr>
      <w:tr>
        <w:tblPrEx>
          <w:tblCellMar>
            <w:top w:w="0" w:type="dxa"/>
            <w:left w:w="108" w:type="dxa"/>
            <w:bottom w:w="0" w:type="dxa"/>
            <w:right w:w="108" w:type="dxa"/>
          </w:tblCellMar>
        </w:tblPrEx>
        <w:trPr>
          <w:trHeight w:val="789" w:hRule="atLeast"/>
          <w:jc w:val="center"/>
        </w:trPr>
        <w:tc>
          <w:tcPr>
            <w:tcW w:w="1522" w:type="dxa"/>
            <w:vMerge w:val="restart"/>
            <w:tcBorders>
              <w:top w:val="nil"/>
              <w:left w:val="single" w:color="auto" w:sz="8" w:space="0"/>
              <w:bottom w:val="single" w:color="auto" w:sz="4" w:space="0"/>
              <w:right w:val="single" w:color="auto" w:sz="4" w:space="0"/>
            </w:tcBorders>
            <w:noWrap w:val="0"/>
            <w:vAlign w:val="center"/>
          </w:tcPr>
          <w:p>
            <w:pPr>
              <w:widowControl/>
              <w:numPr>
                <w:ilvl w:val="0"/>
                <w:numId w:val="1"/>
              </w:numPr>
              <w:jc w:val="center"/>
              <w:rPr>
                <w:rFonts w:hint="eastAsia" w:eastAsia="楷体"/>
                <w:kern w:val="0"/>
                <w:sz w:val="24"/>
                <w:szCs w:val="24"/>
              </w:rPr>
            </w:pPr>
            <w:r>
              <w:rPr>
                <w:rFonts w:hint="eastAsia" w:eastAsia="楷体"/>
                <w:kern w:val="0"/>
                <w:sz w:val="24"/>
                <w:szCs w:val="24"/>
              </w:rPr>
              <w:t>政治建设</w:t>
            </w:r>
          </w:p>
          <w:p>
            <w:pPr>
              <w:widowControl/>
              <w:jc w:val="center"/>
              <w:rPr>
                <w:rFonts w:eastAsia="楷体"/>
                <w:kern w:val="0"/>
                <w:sz w:val="24"/>
                <w:szCs w:val="24"/>
              </w:rPr>
            </w:pPr>
            <w:r>
              <w:rPr>
                <w:rFonts w:hint="eastAsia" w:eastAsia="楷体"/>
                <w:kern w:val="0"/>
                <w:sz w:val="24"/>
                <w:szCs w:val="24"/>
              </w:rPr>
              <w:t>（20分）</w:t>
            </w:r>
          </w:p>
        </w:tc>
        <w:tc>
          <w:tcPr>
            <w:tcW w:w="2037" w:type="dxa"/>
            <w:tcBorders>
              <w:top w:val="nil"/>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r>
              <w:rPr>
                <w:rFonts w:hint="eastAsia" w:eastAsia="仿宋_GB2312"/>
                <w:kern w:val="0"/>
                <w:sz w:val="24"/>
                <w:szCs w:val="24"/>
              </w:rPr>
              <w:t>1.1 坚决做到“两个维护”（5分）</w:t>
            </w:r>
          </w:p>
        </w:tc>
        <w:tc>
          <w:tcPr>
            <w:tcW w:w="9829" w:type="dxa"/>
            <w:tcBorders>
              <w:top w:val="nil"/>
              <w:left w:val="nil"/>
              <w:bottom w:val="single" w:color="auto" w:sz="4" w:space="0"/>
              <w:right w:val="single" w:color="auto" w:sz="8" w:space="0"/>
            </w:tcBorders>
            <w:noWrap w:val="0"/>
            <w:vAlign w:val="center"/>
          </w:tcPr>
          <w:p>
            <w:pPr>
              <w:widowControl/>
              <w:jc w:val="left"/>
              <w:rPr>
                <w:kern w:val="0"/>
              </w:rPr>
            </w:pPr>
            <w:r>
              <w:rPr>
                <w:rFonts w:hint="eastAsia"/>
                <w:kern w:val="0"/>
              </w:rPr>
              <w:t>全面贯彻党的基本理论、基本路线、基本方略和上级决策部署，及时传达学习上级重要会议、文件精神，院（系）级党组织班子成员带头并引导本单位师生党员树牢“四个意识</w:t>
            </w:r>
            <w:r>
              <w:rPr>
                <w:kern w:val="0"/>
              </w:rPr>
              <w:t>”</w:t>
            </w:r>
            <w:r>
              <w:rPr>
                <w:rFonts w:hint="eastAsia"/>
                <w:kern w:val="0"/>
              </w:rPr>
              <w:t>、坚定“四个自信”，坚决做到“两个维护”。认真落实立德树人根本任务，培养德智体美劳全面发展的社会主义建设者和接班人。</w:t>
            </w:r>
          </w:p>
        </w:tc>
      </w:tr>
      <w:tr>
        <w:tblPrEx>
          <w:tblCellMar>
            <w:top w:w="0" w:type="dxa"/>
            <w:left w:w="108" w:type="dxa"/>
            <w:bottom w:w="0" w:type="dxa"/>
            <w:right w:w="108" w:type="dxa"/>
          </w:tblCellMar>
        </w:tblPrEx>
        <w:trPr>
          <w:trHeight w:val="1269" w:hRule="atLeast"/>
          <w:jc w:val="center"/>
        </w:trPr>
        <w:tc>
          <w:tcPr>
            <w:tcW w:w="1522" w:type="dxa"/>
            <w:vMerge w:val="continue"/>
            <w:tcBorders>
              <w:top w:val="nil"/>
              <w:left w:val="single" w:color="auto" w:sz="8" w:space="0"/>
              <w:bottom w:val="single" w:color="auto" w:sz="4" w:space="0"/>
              <w:right w:val="single" w:color="auto" w:sz="4" w:space="0"/>
            </w:tcBorders>
            <w:noWrap w:val="0"/>
            <w:vAlign w:val="center"/>
          </w:tcPr>
          <w:p>
            <w:pPr>
              <w:widowControl/>
              <w:jc w:val="left"/>
              <w:rPr>
                <w:kern w:val="0"/>
                <w:sz w:val="24"/>
                <w:szCs w:val="24"/>
              </w:rPr>
            </w:pPr>
          </w:p>
        </w:tc>
        <w:tc>
          <w:tcPr>
            <w:tcW w:w="2037" w:type="dxa"/>
            <w:tcBorders>
              <w:top w:val="nil"/>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r>
              <w:rPr>
                <w:rFonts w:hint="eastAsia" w:eastAsia="仿宋_GB2312"/>
                <w:kern w:val="0"/>
                <w:sz w:val="24"/>
                <w:szCs w:val="24"/>
              </w:rPr>
              <w:t>1.2 强化政治把关（5分）</w:t>
            </w:r>
          </w:p>
        </w:tc>
        <w:tc>
          <w:tcPr>
            <w:tcW w:w="9829" w:type="dxa"/>
            <w:tcBorders>
              <w:top w:val="nil"/>
              <w:left w:val="nil"/>
              <w:bottom w:val="single" w:color="auto" w:sz="4" w:space="0"/>
              <w:right w:val="single" w:color="auto" w:sz="8" w:space="0"/>
            </w:tcBorders>
            <w:noWrap w:val="0"/>
            <w:vAlign w:val="center"/>
          </w:tcPr>
          <w:p>
            <w:pPr>
              <w:widowControl/>
              <w:jc w:val="left"/>
              <w:rPr>
                <w:kern w:val="0"/>
              </w:rPr>
            </w:pPr>
            <w:r>
              <w:rPr>
                <w:rFonts w:hint="eastAsia"/>
                <w:kern w:val="0"/>
              </w:rPr>
              <w:t>规范院（系）党组织会议、党政联席会议等制度，完善议事决策规则，有关党的建设，包括党内外干部任用、党员队伍建设等工作，由党组织会议研究决定；涉及办学方向、教师队伍建设、师生员工切身利益等重大事项，由党组织先研究再提交党政联席会议决定。落实抓基层党建工作主体责任，每年开展所属基层党组织书记抓基层党建工作述职评议。二级院系党组织领导下的院长（系主任）负责制试点单位，按要求发挥院系党组织领导作用。</w:t>
            </w:r>
          </w:p>
        </w:tc>
      </w:tr>
      <w:tr>
        <w:tblPrEx>
          <w:tblCellMar>
            <w:top w:w="0" w:type="dxa"/>
            <w:left w:w="108" w:type="dxa"/>
            <w:bottom w:w="0" w:type="dxa"/>
            <w:right w:w="108" w:type="dxa"/>
          </w:tblCellMar>
        </w:tblPrEx>
        <w:trPr>
          <w:trHeight w:val="551" w:hRule="atLeast"/>
          <w:jc w:val="center"/>
        </w:trPr>
        <w:tc>
          <w:tcPr>
            <w:tcW w:w="1522" w:type="dxa"/>
            <w:vMerge w:val="continue"/>
            <w:tcBorders>
              <w:top w:val="nil"/>
              <w:left w:val="single" w:color="auto" w:sz="8" w:space="0"/>
              <w:bottom w:val="single" w:color="auto" w:sz="4" w:space="0"/>
              <w:right w:val="single" w:color="auto" w:sz="4" w:space="0"/>
            </w:tcBorders>
            <w:noWrap w:val="0"/>
            <w:vAlign w:val="center"/>
          </w:tcPr>
          <w:p>
            <w:pPr>
              <w:widowControl/>
              <w:jc w:val="left"/>
              <w:rPr>
                <w:kern w:val="0"/>
                <w:sz w:val="24"/>
                <w:szCs w:val="24"/>
              </w:rPr>
            </w:pPr>
          </w:p>
        </w:tc>
        <w:tc>
          <w:tcPr>
            <w:tcW w:w="2037" w:type="dxa"/>
            <w:tcBorders>
              <w:top w:val="nil"/>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r>
              <w:rPr>
                <w:rFonts w:hint="eastAsia" w:eastAsia="仿宋_GB2312"/>
                <w:kern w:val="0"/>
                <w:sz w:val="24"/>
                <w:szCs w:val="24"/>
              </w:rPr>
              <w:t>1.3 贯彻民主集中制（5分）</w:t>
            </w:r>
          </w:p>
        </w:tc>
        <w:tc>
          <w:tcPr>
            <w:tcW w:w="9829" w:type="dxa"/>
            <w:tcBorders>
              <w:top w:val="nil"/>
              <w:left w:val="nil"/>
              <w:bottom w:val="single" w:color="auto" w:sz="4" w:space="0"/>
              <w:right w:val="single" w:color="auto" w:sz="8" w:space="0"/>
            </w:tcBorders>
            <w:noWrap w:val="0"/>
            <w:vAlign w:val="center"/>
          </w:tcPr>
          <w:p>
            <w:pPr>
              <w:widowControl/>
              <w:jc w:val="left"/>
              <w:rPr>
                <w:kern w:val="0"/>
              </w:rPr>
            </w:pPr>
            <w:r>
              <w:rPr>
                <w:rFonts w:hint="eastAsia"/>
                <w:kern w:val="0"/>
              </w:rPr>
              <w:t>明晰院（系）班子成员工作职责，建立健全集体领导、党政分工负责、协调运行的工作机制。推行二级学院（系）党政主要负责人在人才引进、年度考核、廉政责任等事项中“双签”的做法。</w:t>
            </w:r>
          </w:p>
        </w:tc>
      </w:tr>
      <w:tr>
        <w:tblPrEx>
          <w:tblCellMar>
            <w:top w:w="0" w:type="dxa"/>
            <w:left w:w="108" w:type="dxa"/>
            <w:bottom w:w="0" w:type="dxa"/>
            <w:right w:w="108" w:type="dxa"/>
          </w:tblCellMar>
        </w:tblPrEx>
        <w:trPr>
          <w:trHeight w:val="631" w:hRule="atLeast"/>
          <w:jc w:val="center"/>
        </w:trPr>
        <w:tc>
          <w:tcPr>
            <w:tcW w:w="1522" w:type="dxa"/>
            <w:vMerge w:val="continue"/>
            <w:tcBorders>
              <w:top w:val="nil"/>
              <w:left w:val="single" w:color="auto" w:sz="8" w:space="0"/>
              <w:bottom w:val="single" w:color="auto" w:sz="4" w:space="0"/>
              <w:right w:val="single" w:color="auto" w:sz="4" w:space="0"/>
            </w:tcBorders>
            <w:noWrap w:val="0"/>
            <w:vAlign w:val="center"/>
          </w:tcPr>
          <w:p>
            <w:pPr>
              <w:widowControl/>
              <w:jc w:val="left"/>
              <w:rPr>
                <w:kern w:val="0"/>
                <w:sz w:val="24"/>
                <w:szCs w:val="24"/>
              </w:rPr>
            </w:pPr>
          </w:p>
        </w:tc>
        <w:tc>
          <w:tcPr>
            <w:tcW w:w="2037" w:type="dxa"/>
            <w:tcBorders>
              <w:top w:val="nil"/>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r>
              <w:rPr>
                <w:rFonts w:hint="eastAsia" w:eastAsia="仿宋_GB2312"/>
                <w:kern w:val="0"/>
                <w:sz w:val="24"/>
                <w:szCs w:val="24"/>
              </w:rPr>
              <w:t>1.4 严肃党内政治生活（5分）</w:t>
            </w:r>
          </w:p>
        </w:tc>
        <w:tc>
          <w:tcPr>
            <w:tcW w:w="9829" w:type="dxa"/>
            <w:tcBorders>
              <w:top w:val="nil"/>
              <w:left w:val="nil"/>
              <w:bottom w:val="single" w:color="auto" w:sz="4" w:space="0"/>
              <w:right w:val="single" w:color="auto" w:sz="8" w:space="0"/>
            </w:tcBorders>
            <w:noWrap w:val="0"/>
            <w:vAlign w:val="center"/>
          </w:tcPr>
          <w:p>
            <w:pPr>
              <w:widowControl/>
              <w:jc w:val="left"/>
              <w:rPr>
                <w:kern w:val="0"/>
              </w:rPr>
            </w:pPr>
            <w:r>
              <w:rPr>
                <w:rFonts w:hint="eastAsia"/>
                <w:kern w:val="0"/>
              </w:rPr>
              <w:t>严格执行新形势下党内政治生活若干准则。按要求每年召开领导班子民主生活会，严肃开展批评和自我批评，党员领导班子成员按规定参加双重组织生活。督促指导所属党支部严格落实</w:t>
            </w:r>
            <w:r>
              <w:rPr>
                <w:kern w:val="0"/>
              </w:rPr>
              <w:t>“</w:t>
            </w:r>
            <w:r>
              <w:rPr>
                <w:rFonts w:hint="eastAsia"/>
                <w:kern w:val="0"/>
              </w:rPr>
              <w:t>三会一课</w:t>
            </w:r>
            <w:r>
              <w:rPr>
                <w:kern w:val="0"/>
              </w:rPr>
              <w:t>”</w:t>
            </w:r>
            <w:r>
              <w:rPr>
                <w:rFonts w:hint="eastAsia"/>
                <w:kern w:val="0"/>
              </w:rPr>
              <w:t>、主题党日等基本制度，开展组织生活会、民主评议党员等工作。</w:t>
            </w:r>
          </w:p>
        </w:tc>
      </w:tr>
      <w:tr>
        <w:tblPrEx>
          <w:tblCellMar>
            <w:top w:w="0" w:type="dxa"/>
            <w:left w:w="108" w:type="dxa"/>
            <w:bottom w:w="0" w:type="dxa"/>
            <w:right w:w="108" w:type="dxa"/>
          </w:tblCellMar>
        </w:tblPrEx>
        <w:trPr>
          <w:trHeight w:val="560" w:hRule="atLeast"/>
          <w:jc w:val="center"/>
        </w:trPr>
        <w:tc>
          <w:tcPr>
            <w:tcW w:w="15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
              </w:numPr>
              <w:jc w:val="center"/>
              <w:rPr>
                <w:rFonts w:hint="eastAsia" w:eastAsia="楷体"/>
                <w:kern w:val="0"/>
                <w:sz w:val="24"/>
                <w:szCs w:val="24"/>
              </w:rPr>
            </w:pPr>
            <w:r>
              <w:rPr>
                <w:rFonts w:hint="eastAsia" w:eastAsia="楷体"/>
                <w:kern w:val="0"/>
                <w:sz w:val="24"/>
                <w:szCs w:val="24"/>
              </w:rPr>
              <w:t>思想建设</w:t>
            </w:r>
          </w:p>
          <w:p>
            <w:pPr>
              <w:widowControl/>
              <w:jc w:val="center"/>
              <w:rPr>
                <w:rFonts w:eastAsia="楷体"/>
                <w:kern w:val="0"/>
                <w:sz w:val="24"/>
                <w:szCs w:val="24"/>
              </w:rPr>
            </w:pPr>
            <w:r>
              <w:rPr>
                <w:rFonts w:hint="eastAsia" w:eastAsia="楷体"/>
                <w:kern w:val="0"/>
                <w:sz w:val="24"/>
                <w:szCs w:val="24"/>
              </w:rPr>
              <w:t>（20分）</w:t>
            </w: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2.1 </w:t>
            </w:r>
            <w:r>
              <w:rPr>
                <w:rFonts w:hint="eastAsia" w:eastAsia="仿宋_GB2312"/>
                <w:kern w:val="0"/>
                <w:sz w:val="24"/>
                <w:szCs w:val="24"/>
              </w:rPr>
              <w:t>加强理想信念教育（10分）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rPr>
            </w:pPr>
            <w:r>
              <w:rPr>
                <w:rFonts w:hint="eastAsia"/>
                <w:kern w:val="0"/>
              </w:rPr>
              <w:t>强化理论武装，推进“两学一做”学习教育常态化制度化，扎实推进习近平新时代中国特色社会主义思想进教材、进课堂、进头脑；弘扬社会主义核心价值观。健全完善院（系）理论中心组学习制度，每季度集体学习研讨不少于</w:t>
            </w:r>
            <w:r>
              <w:rPr>
                <w:kern w:val="0"/>
              </w:rPr>
              <w:t>1</w:t>
            </w:r>
            <w:r>
              <w:rPr>
                <w:rFonts w:hint="eastAsia"/>
                <w:kern w:val="0"/>
              </w:rPr>
              <w:t>次。坚持二级学院（系）党组织书记、党员行政负责人每学期讲党课制度。院（系）党组织书记和班子成员每年参加集中培训不少于</w:t>
            </w:r>
            <w:r>
              <w:rPr>
                <w:kern w:val="0"/>
              </w:rPr>
              <w:t>1</w:t>
            </w:r>
            <w:r>
              <w:rPr>
                <w:rFonts w:hint="eastAsia"/>
                <w:kern w:val="0"/>
              </w:rPr>
              <w:t>次。建立健全师生政治理论学习制度，保证教师每年参加集中学习时间不少于</w:t>
            </w:r>
            <w:r>
              <w:rPr>
                <w:kern w:val="0"/>
              </w:rPr>
              <w:t>40</w:t>
            </w:r>
            <w:r>
              <w:rPr>
                <w:rFonts w:hint="eastAsia"/>
                <w:kern w:val="0"/>
              </w:rPr>
              <w:t>学时，积极培育大学生学“习”小组。</w:t>
            </w:r>
          </w:p>
        </w:tc>
      </w:tr>
      <w:tr>
        <w:tblPrEx>
          <w:tblCellMar>
            <w:top w:w="0" w:type="dxa"/>
            <w:left w:w="108" w:type="dxa"/>
            <w:bottom w:w="0" w:type="dxa"/>
            <w:right w:w="108" w:type="dxa"/>
          </w:tblCellMar>
        </w:tblPrEx>
        <w:trPr>
          <w:trHeight w:val="563" w:hRule="atLeast"/>
          <w:jc w:val="center"/>
        </w:trPr>
        <w:tc>
          <w:tcPr>
            <w:tcW w:w="15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eastAsia="仿宋_GB2312"/>
                <w:kern w:val="0"/>
                <w:sz w:val="24"/>
                <w:szCs w:val="24"/>
              </w:rPr>
            </w:pPr>
            <w:r>
              <w:rPr>
                <w:kern w:val="0"/>
                <w:sz w:val="24"/>
                <w:szCs w:val="24"/>
              </w:rPr>
              <w:t>2.2</w:t>
            </w:r>
            <w:r>
              <w:rPr>
                <w:rFonts w:hint="eastAsia"/>
                <w:kern w:val="0"/>
                <w:sz w:val="24"/>
                <w:szCs w:val="24"/>
              </w:rPr>
              <w:t xml:space="preserve"> </w:t>
            </w:r>
            <w:r>
              <w:rPr>
                <w:rFonts w:hint="eastAsia" w:eastAsia="仿宋_GB2312"/>
                <w:kern w:val="0"/>
                <w:sz w:val="24"/>
                <w:szCs w:val="24"/>
              </w:rPr>
              <w:t>认真开展党内主题教育</w:t>
            </w:r>
          </w:p>
          <w:p>
            <w:pPr>
              <w:widowControl/>
              <w:jc w:val="left"/>
              <w:rPr>
                <w:rFonts w:eastAsia="仿宋_GB2312"/>
                <w:kern w:val="0"/>
                <w:sz w:val="24"/>
                <w:szCs w:val="24"/>
              </w:rPr>
            </w:pPr>
            <w:r>
              <w:rPr>
                <w:rFonts w:hint="eastAsia" w:eastAsia="仿宋_GB2312"/>
                <w:kern w:val="0"/>
                <w:sz w:val="24"/>
                <w:szCs w:val="24"/>
              </w:rPr>
              <w:t>（5分）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rPr>
            </w:pPr>
            <w:r>
              <w:rPr>
                <w:rFonts w:hint="eastAsia"/>
                <w:kern w:val="0"/>
              </w:rPr>
              <w:t>根据上级部署，结合实际，创新载体形式，认真组织开展“不忘初心、牢记使命”主题教育等活动，提高活动成效。以重大节庆日、重要活动、重要节点为契机，用好“学习强国”等在线学习载体，开展形式多样的线下教育活动。</w:t>
            </w:r>
          </w:p>
        </w:tc>
      </w:tr>
      <w:tr>
        <w:tblPrEx>
          <w:tblCellMar>
            <w:top w:w="0" w:type="dxa"/>
            <w:left w:w="108" w:type="dxa"/>
            <w:bottom w:w="0" w:type="dxa"/>
            <w:right w:w="108" w:type="dxa"/>
          </w:tblCellMar>
        </w:tblPrEx>
        <w:trPr>
          <w:trHeight w:val="705" w:hRule="atLeast"/>
          <w:jc w:val="center"/>
        </w:trPr>
        <w:tc>
          <w:tcPr>
            <w:tcW w:w="15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eastAsia="仿宋_GB2312"/>
                <w:kern w:val="0"/>
                <w:sz w:val="24"/>
                <w:szCs w:val="24"/>
              </w:rPr>
            </w:pPr>
            <w:r>
              <w:rPr>
                <w:kern w:val="0"/>
                <w:sz w:val="24"/>
                <w:szCs w:val="24"/>
              </w:rPr>
              <w:t>2.3</w:t>
            </w:r>
            <w:r>
              <w:rPr>
                <w:rFonts w:hint="eastAsia"/>
                <w:kern w:val="0"/>
                <w:sz w:val="24"/>
                <w:szCs w:val="24"/>
              </w:rPr>
              <w:t xml:space="preserve"> </w:t>
            </w:r>
            <w:r>
              <w:rPr>
                <w:rFonts w:hint="eastAsia" w:eastAsia="仿宋_GB2312"/>
                <w:kern w:val="0"/>
                <w:sz w:val="24"/>
                <w:szCs w:val="24"/>
              </w:rPr>
              <w:t>落实意识形态工作责任制</w:t>
            </w:r>
          </w:p>
          <w:p>
            <w:pPr>
              <w:widowControl/>
              <w:jc w:val="left"/>
              <w:rPr>
                <w:rFonts w:eastAsia="仿宋_GB2312"/>
                <w:kern w:val="0"/>
                <w:sz w:val="24"/>
                <w:szCs w:val="24"/>
              </w:rPr>
            </w:pPr>
            <w:r>
              <w:rPr>
                <w:rFonts w:hint="eastAsia" w:eastAsia="仿宋_GB2312"/>
                <w:kern w:val="0"/>
                <w:sz w:val="24"/>
                <w:szCs w:val="24"/>
              </w:rPr>
              <w:t>（5分）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kern w:val="0"/>
              </w:rPr>
            </w:pPr>
            <w:r>
              <w:rPr>
                <w:rFonts w:hint="eastAsia"/>
                <w:kern w:val="0"/>
              </w:rPr>
              <w:t>建立健全意识形态工作体系，明确责任岗、责任人，定期分析党员和师生思想政治状况。严格把好教师引进、课程建设、教材选用、学术活动、中外合作、国际捐赠助学等重大工作的政治关。管好各类宣传思想文化阵地，严格执行“一会一报”“一事一报”制度，加强对报告会、研讨会、论坛等审批把关、指导管理。加强网络阵地管理，做好舆论宣传、舆情应对等工作。</w:t>
            </w:r>
          </w:p>
        </w:tc>
      </w:tr>
      <w:tr>
        <w:tblPrEx>
          <w:tblCellMar>
            <w:top w:w="0" w:type="dxa"/>
            <w:left w:w="108" w:type="dxa"/>
            <w:bottom w:w="0" w:type="dxa"/>
            <w:right w:w="108" w:type="dxa"/>
          </w:tblCellMar>
        </w:tblPrEx>
        <w:trPr>
          <w:trHeight w:val="690" w:hRule="atLeast"/>
          <w:jc w:val="center"/>
        </w:trPr>
        <w:tc>
          <w:tcPr>
            <w:tcW w:w="15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
              </w:numPr>
              <w:jc w:val="center"/>
              <w:rPr>
                <w:rFonts w:hint="eastAsia" w:eastAsia="楷体"/>
                <w:kern w:val="0"/>
                <w:sz w:val="24"/>
                <w:szCs w:val="24"/>
              </w:rPr>
            </w:pPr>
            <w:r>
              <w:rPr>
                <w:rFonts w:hint="eastAsia" w:eastAsia="楷体"/>
                <w:kern w:val="0"/>
                <w:sz w:val="24"/>
                <w:szCs w:val="24"/>
              </w:rPr>
              <w:t>组织建设</w:t>
            </w:r>
          </w:p>
          <w:p>
            <w:pPr>
              <w:widowControl/>
              <w:jc w:val="center"/>
              <w:rPr>
                <w:rFonts w:eastAsia="楷体"/>
                <w:kern w:val="0"/>
                <w:sz w:val="24"/>
                <w:szCs w:val="24"/>
              </w:rPr>
            </w:pPr>
            <w:r>
              <w:rPr>
                <w:rFonts w:hint="eastAsia" w:eastAsia="楷体"/>
                <w:kern w:val="0"/>
                <w:sz w:val="24"/>
                <w:szCs w:val="24"/>
              </w:rPr>
              <w:t>（25分）</w:t>
            </w: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eastAsia="仿宋_GB2312"/>
                <w:kern w:val="0"/>
                <w:sz w:val="24"/>
                <w:szCs w:val="24"/>
              </w:rPr>
            </w:pPr>
            <w:r>
              <w:rPr>
                <w:kern w:val="0"/>
                <w:sz w:val="24"/>
                <w:szCs w:val="24"/>
              </w:rPr>
              <w:t xml:space="preserve">3.1 </w:t>
            </w:r>
            <w:r>
              <w:rPr>
                <w:rFonts w:hint="eastAsia" w:eastAsia="仿宋_GB2312"/>
                <w:kern w:val="0"/>
                <w:sz w:val="24"/>
                <w:szCs w:val="24"/>
              </w:rPr>
              <w:t>规范党组织设置和换届工作</w:t>
            </w:r>
          </w:p>
          <w:p>
            <w:pPr>
              <w:widowControl/>
              <w:jc w:val="left"/>
              <w:rPr>
                <w:rFonts w:eastAsia="仿宋_GB2312"/>
                <w:kern w:val="0"/>
                <w:sz w:val="24"/>
                <w:szCs w:val="24"/>
              </w:rPr>
            </w:pPr>
            <w:r>
              <w:rPr>
                <w:rFonts w:hint="eastAsia" w:eastAsia="仿宋_GB2312"/>
                <w:kern w:val="0"/>
                <w:sz w:val="24"/>
                <w:szCs w:val="24"/>
              </w:rPr>
              <w:t>（3分）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kern w:val="0"/>
              </w:rPr>
            </w:pPr>
            <w:r>
              <w:rPr>
                <w:rFonts w:hint="eastAsia"/>
                <w:kern w:val="0"/>
              </w:rPr>
              <w:t>按党章要求规范设置院（系）级党组织，院（系）级党委每届任期</w:t>
            </w:r>
            <w:r>
              <w:rPr>
                <w:rFonts w:hint="eastAsia"/>
              </w:rPr>
              <w:t>一般为</w:t>
            </w:r>
            <w:r>
              <w:rPr>
                <w:kern w:val="0"/>
              </w:rPr>
              <w:t>5</w:t>
            </w:r>
            <w:r>
              <w:rPr>
                <w:rFonts w:hint="eastAsia"/>
                <w:kern w:val="0"/>
              </w:rPr>
              <w:t>年、总支或支部每届任期一般为</w:t>
            </w:r>
            <w:r>
              <w:rPr>
                <w:kern w:val="0"/>
              </w:rPr>
              <w:t>3</w:t>
            </w:r>
            <w:r>
              <w:rPr>
                <w:rFonts w:hint="eastAsia"/>
                <w:kern w:val="0"/>
              </w:rPr>
              <w:t>年，期满按期换届。每学年对所属党支部进行</w:t>
            </w:r>
            <w:r>
              <w:rPr>
                <w:kern w:val="0"/>
              </w:rPr>
              <w:t>1</w:t>
            </w:r>
            <w:r>
              <w:rPr>
                <w:rFonts w:hint="eastAsia"/>
                <w:kern w:val="0"/>
              </w:rPr>
              <w:t>次摸底，做到设置规范合理、调整及时。建立提醒督促机制，对任期届满党支部，一般提前</w:t>
            </w:r>
            <w:r>
              <w:rPr>
                <w:kern w:val="0"/>
              </w:rPr>
              <w:t>6</w:t>
            </w:r>
            <w:r>
              <w:rPr>
                <w:rFonts w:hint="eastAsia"/>
                <w:kern w:val="0"/>
              </w:rPr>
              <w:t>个月提醒做好换届准备。深化基层党组织星级建设，完善和落实支部“堡垒指数”、党员“先锋指数”管理体系。</w:t>
            </w:r>
          </w:p>
        </w:tc>
      </w:tr>
      <w:tr>
        <w:tblPrEx>
          <w:tblCellMar>
            <w:top w:w="0" w:type="dxa"/>
            <w:left w:w="108" w:type="dxa"/>
            <w:bottom w:w="0" w:type="dxa"/>
            <w:right w:w="108" w:type="dxa"/>
          </w:tblCellMar>
        </w:tblPrEx>
        <w:trPr>
          <w:trHeight w:val="1308" w:hRule="atLeast"/>
          <w:jc w:val="center"/>
        </w:trPr>
        <w:tc>
          <w:tcPr>
            <w:tcW w:w="15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3.2 </w:t>
            </w:r>
            <w:r>
              <w:rPr>
                <w:rFonts w:hint="eastAsia" w:eastAsia="仿宋_GB2312"/>
                <w:kern w:val="0"/>
                <w:sz w:val="24"/>
                <w:szCs w:val="24"/>
              </w:rPr>
              <w:t>从严发展党员和党员教育管理（10分）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kern w:val="0"/>
              </w:rPr>
            </w:pPr>
            <w:r>
              <w:rPr>
                <w:rFonts w:hint="eastAsia"/>
                <w:kern w:val="0"/>
              </w:rPr>
              <w:t>认真落实上级下达的发展党员计划，严把发展党员政治标准，确保发展质量。做好在高知识群体和少数民族学生中发展党员工作，对高知识人员实行“一对一”“多对一”联系。落实党员每年集中学习培训时间一般不少于</w:t>
            </w:r>
            <w:r>
              <w:rPr>
                <w:kern w:val="0"/>
              </w:rPr>
              <w:t>32</w:t>
            </w:r>
            <w:r>
              <w:rPr>
                <w:rFonts w:hint="eastAsia"/>
                <w:kern w:val="0"/>
              </w:rPr>
              <w:t xml:space="preserve">个学时要求。深化“最多跑一次”改革，提高党员组织关系转接等事项办理效率和质量，做好党费收缴管理规范、党内关爱帮扶激励等日常工作。全面推行入学入职“第一课”制度，提前抓好学生、教师政治引领和政治吸纳。注重选树先进典型，用师生群众身边人、身边事教育引导人。稳妥处置不合格党员。 </w:t>
            </w:r>
          </w:p>
        </w:tc>
      </w:tr>
      <w:tr>
        <w:tblPrEx>
          <w:tblCellMar>
            <w:top w:w="0" w:type="dxa"/>
            <w:left w:w="108" w:type="dxa"/>
            <w:bottom w:w="0" w:type="dxa"/>
            <w:right w:w="108" w:type="dxa"/>
          </w:tblCellMar>
        </w:tblPrEx>
        <w:trPr>
          <w:trHeight w:val="810" w:hRule="atLeast"/>
          <w:jc w:val="center"/>
        </w:trPr>
        <w:tc>
          <w:tcPr>
            <w:tcW w:w="15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eastAsia="仿宋_GB2312"/>
                <w:kern w:val="0"/>
                <w:sz w:val="24"/>
                <w:szCs w:val="24"/>
              </w:rPr>
            </w:pPr>
            <w:r>
              <w:rPr>
                <w:kern w:val="0"/>
                <w:sz w:val="24"/>
                <w:szCs w:val="24"/>
              </w:rPr>
              <w:t xml:space="preserve">3.3 </w:t>
            </w:r>
            <w:r>
              <w:rPr>
                <w:rFonts w:hint="eastAsia" w:eastAsia="仿宋_GB2312"/>
                <w:kern w:val="0"/>
                <w:sz w:val="24"/>
                <w:szCs w:val="24"/>
              </w:rPr>
              <w:t>加强党务干部队伍建设</w:t>
            </w:r>
          </w:p>
          <w:p>
            <w:pPr>
              <w:widowControl/>
              <w:jc w:val="left"/>
              <w:rPr>
                <w:rFonts w:eastAsia="仿宋_GB2312"/>
                <w:kern w:val="0"/>
                <w:sz w:val="24"/>
                <w:szCs w:val="24"/>
              </w:rPr>
            </w:pPr>
            <w:r>
              <w:rPr>
                <w:rFonts w:hint="eastAsia" w:eastAsia="仿宋_GB2312"/>
                <w:kern w:val="0"/>
                <w:sz w:val="24"/>
                <w:szCs w:val="24"/>
              </w:rPr>
              <w:t>（6分）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kern w:val="0"/>
              </w:rPr>
            </w:pPr>
            <w:r>
              <w:rPr>
                <w:rFonts w:hint="eastAsia"/>
                <w:kern w:val="0"/>
              </w:rPr>
              <w:t>配齐建强高校党务工作队伍，每个院（系）配备</w:t>
            </w:r>
            <w:r>
              <w:rPr>
                <w:kern w:val="0"/>
              </w:rPr>
              <w:t>1名专职副书记，</w:t>
            </w:r>
            <w:r>
              <w:rPr>
                <w:rFonts w:hint="eastAsia"/>
                <w:kern w:val="0"/>
              </w:rPr>
              <w:t>至少配备</w:t>
            </w:r>
            <w:r>
              <w:rPr>
                <w:kern w:val="0"/>
              </w:rPr>
              <w:t>1至2名专职组织员</w:t>
            </w:r>
            <w:r>
              <w:rPr>
                <w:rFonts w:hint="eastAsia"/>
                <w:kern w:val="0"/>
              </w:rPr>
              <w:t>，专责抓党建。注重选拔政治强、业务强、管理强的“三强型”干部担任基层党组织书记，认真履行“双带头人”教师党支部书记培育责任，力争在</w:t>
            </w:r>
            <w:r>
              <w:rPr>
                <w:kern w:val="0"/>
              </w:rPr>
              <w:t>2020年底前</w:t>
            </w:r>
            <w:r>
              <w:rPr>
                <w:rFonts w:hint="eastAsia"/>
                <w:kern w:val="0"/>
              </w:rPr>
              <w:t>使教师党支部书记普遍成为“双带头人”。健全党务干部常态化培训机制，抓好任职培训、业务培训和专题培训，确保党务干部每年至少参加</w:t>
            </w:r>
            <w:r>
              <w:rPr>
                <w:kern w:val="0"/>
              </w:rPr>
              <w:t>1</w:t>
            </w:r>
            <w:r>
              <w:rPr>
                <w:rFonts w:hint="eastAsia"/>
                <w:kern w:val="0"/>
              </w:rPr>
              <w:t>次集中培训。</w:t>
            </w:r>
          </w:p>
        </w:tc>
      </w:tr>
      <w:tr>
        <w:tblPrEx>
          <w:tblCellMar>
            <w:top w:w="0" w:type="dxa"/>
            <w:left w:w="108" w:type="dxa"/>
            <w:bottom w:w="0" w:type="dxa"/>
            <w:right w:w="108" w:type="dxa"/>
          </w:tblCellMar>
        </w:tblPrEx>
        <w:trPr>
          <w:trHeight w:val="1250" w:hRule="atLeast"/>
          <w:jc w:val="center"/>
        </w:trPr>
        <w:tc>
          <w:tcPr>
            <w:tcW w:w="15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3.4 </w:t>
            </w:r>
            <w:r>
              <w:rPr>
                <w:rFonts w:hint="eastAsia" w:eastAsia="仿宋_GB2312"/>
                <w:kern w:val="0"/>
                <w:sz w:val="24"/>
                <w:szCs w:val="24"/>
              </w:rPr>
              <w:t>强化工作保障（6分）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kern w:val="0"/>
              </w:rPr>
            </w:pPr>
            <w:r>
              <w:rPr>
                <w:rFonts w:hint="eastAsia"/>
                <w:kern w:val="0"/>
              </w:rPr>
              <w:t>学校划拨的党建工作活动经费专款专用，党费使用向基层党支部倾斜，党员教育活动经费每年按教工党员不少于</w:t>
            </w:r>
            <w:r>
              <w:rPr>
                <w:kern w:val="0"/>
              </w:rPr>
              <w:t>200</w:t>
            </w:r>
            <w:r>
              <w:rPr>
                <w:rFonts w:hint="eastAsia"/>
                <w:kern w:val="0"/>
              </w:rPr>
              <w:t>元</w:t>
            </w:r>
            <w:r>
              <w:rPr>
                <w:kern w:val="0"/>
              </w:rPr>
              <w:t>/</w:t>
            </w:r>
            <w:r>
              <w:rPr>
                <w:rFonts w:hint="eastAsia"/>
                <w:kern w:val="0"/>
              </w:rPr>
              <w:t>人、学生党员不少于</w:t>
            </w:r>
            <w:r>
              <w:rPr>
                <w:kern w:val="0"/>
              </w:rPr>
              <w:t>50</w:t>
            </w:r>
            <w:r>
              <w:rPr>
                <w:rFonts w:hint="eastAsia"/>
                <w:kern w:val="0"/>
              </w:rPr>
              <w:t>元</w:t>
            </w:r>
            <w:r>
              <w:rPr>
                <w:kern w:val="0"/>
              </w:rPr>
              <w:t>/</w:t>
            </w:r>
            <w:r>
              <w:rPr>
                <w:rFonts w:hint="eastAsia"/>
                <w:kern w:val="0"/>
              </w:rPr>
              <w:t>人的标准列入年度预算。党建工作纳入二级学院（系）的整体工作考核内容。落实党务工作者特别是党支部书记的政策待遇，其承担的党务工作计入工作量。建好用好“党员之家”。</w:t>
            </w:r>
          </w:p>
        </w:tc>
      </w:tr>
      <w:tr>
        <w:tblPrEx>
          <w:tblCellMar>
            <w:top w:w="0" w:type="dxa"/>
            <w:left w:w="108" w:type="dxa"/>
            <w:bottom w:w="0" w:type="dxa"/>
            <w:right w:w="108" w:type="dxa"/>
          </w:tblCellMar>
        </w:tblPrEx>
        <w:trPr>
          <w:trHeight w:val="280" w:hRule="atLeast"/>
          <w:jc w:val="center"/>
        </w:trPr>
        <w:tc>
          <w:tcPr>
            <w:tcW w:w="15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
              </w:numPr>
              <w:jc w:val="center"/>
              <w:rPr>
                <w:rFonts w:hint="eastAsia" w:eastAsia="楷体"/>
                <w:kern w:val="0"/>
                <w:sz w:val="24"/>
                <w:szCs w:val="24"/>
              </w:rPr>
            </w:pPr>
            <w:r>
              <w:rPr>
                <w:rFonts w:hint="eastAsia" w:eastAsia="楷体"/>
                <w:kern w:val="0"/>
                <w:sz w:val="24"/>
                <w:szCs w:val="24"/>
              </w:rPr>
              <w:t>作风建设</w:t>
            </w:r>
          </w:p>
          <w:p>
            <w:pPr>
              <w:widowControl/>
              <w:jc w:val="center"/>
              <w:rPr>
                <w:rFonts w:eastAsia="楷体"/>
                <w:kern w:val="0"/>
                <w:sz w:val="24"/>
                <w:szCs w:val="24"/>
              </w:rPr>
            </w:pPr>
            <w:r>
              <w:rPr>
                <w:rFonts w:hint="eastAsia" w:eastAsia="楷体"/>
                <w:kern w:val="0"/>
                <w:sz w:val="24"/>
                <w:szCs w:val="24"/>
              </w:rPr>
              <w:t>（10分）</w:t>
            </w: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eastAsia="仿宋_GB2312"/>
                <w:kern w:val="0"/>
                <w:sz w:val="24"/>
                <w:szCs w:val="24"/>
              </w:rPr>
            </w:pPr>
            <w:r>
              <w:rPr>
                <w:kern w:val="0"/>
                <w:sz w:val="24"/>
                <w:szCs w:val="24"/>
              </w:rPr>
              <w:t xml:space="preserve">4.1 </w:t>
            </w:r>
            <w:r>
              <w:rPr>
                <w:rFonts w:hint="eastAsia" w:eastAsia="仿宋_GB2312"/>
                <w:kern w:val="0"/>
                <w:sz w:val="24"/>
                <w:szCs w:val="24"/>
              </w:rPr>
              <w:t>加强领导干部作风建设</w:t>
            </w:r>
          </w:p>
          <w:p>
            <w:pPr>
              <w:widowControl/>
              <w:jc w:val="left"/>
              <w:rPr>
                <w:rFonts w:eastAsia="仿宋_GB2312"/>
                <w:kern w:val="0"/>
                <w:sz w:val="24"/>
                <w:szCs w:val="24"/>
              </w:rPr>
            </w:pPr>
            <w:r>
              <w:rPr>
                <w:rFonts w:hint="eastAsia" w:eastAsia="仿宋_GB2312"/>
                <w:kern w:val="0"/>
                <w:sz w:val="24"/>
                <w:szCs w:val="24"/>
              </w:rPr>
              <w:t>（5分）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kern w:val="0"/>
              </w:rPr>
            </w:pPr>
            <w:r>
              <w:rPr>
                <w:rFonts w:hint="eastAsia"/>
                <w:kern w:val="0"/>
              </w:rPr>
              <w:t>严格落实中央八项规定和实施细则精神以及省委贯彻中央八项规定实施细则《办法》，克服形式主义、官僚主义等。</w:t>
            </w:r>
            <w:r>
              <w:rPr>
                <w:rFonts w:hint="eastAsia"/>
                <w:kern w:val="0"/>
                <w:sz w:val="22"/>
              </w:rPr>
              <w:t>注重分析党员思想状况和心理状态。</w:t>
            </w:r>
            <w:r>
              <w:rPr>
                <w:rFonts w:hint="eastAsia"/>
                <w:kern w:val="0"/>
              </w:rPr>
              <w:t>密切联系服务师生党员群众，全面落实“四个一”联系制度和领导干部同党外人士联谊交友制度，积极帮助解决实际问题。完善谈心谈话制度，院（系）党组织书记和班子成员、班子成员之间每年谈心谈话一般不少于</w:t>
            </w:r>
            <w:r>
              <w:rPr>
                <w:kern w:val="0"/>
              </w:rPr>
              <w:t>1</w:t>
            </w:r>
            <w:r>
              <w:rPr>
                <w:rFonts w:hint="eastAsia"/>
                <w:kern w:val="0"/>
              </w:rPr>
              <w:t>次。</w:t>
            </w:r>
          </w:p>
        </w:tc>
      </w:tr>
      <w:tr>
        <w:tblPrEx>
          <w:tblCellMar>
            <w:top w:w="0" w:type="dxa"/>
            <w:left w:w="108" w:type="dxa"/>
            <w:bottom w:w="0" w:type="dxa"/>
            <w:right w:w="108" w:type="dxa"/>
          </w:tblCellMar>
        </w:tblPrEx>
        <w:trPr>
          <w:trHeight w:val="765" w:hRule="atLeast"/>
          <w:jc w:val="center"/>
        </w:trPr>
        <w:tc>
          <w:tcPr>
            <w:tcW w:w="15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4.2 </w:t>
            </w:r>
            <w:r>
              <w:rPr>
                <w:rFonts w:hint="eastAsia" w:eastAsia="仿宋_GB2312"/>
                <w:kern w:val="0"/>
                <w:sz w:val="24"/>
                <w:szCs w:val="24"/>
              </w:rPr>
              <w:t>加强师德师风建设（3分）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rPr>
            </w:pPr>
            <w:r>
              <w:rPr>
                <w:rFonts w:hint="eastAsia"/>
                <w:kern w:val="0"/>
              </w:rPr>
              <w:t>与</w:t>
            </w:r>
            <w:r>
              <w:rPr>
                <w:kern w:val="0"/>
              </w:rPr>
              <w:t>学院行政合力</w:t>
            </w:r>
            <w:r>
              <w:rPr>
                <w:rFonts w:hint="eastAsia"/>
                <w:kern w:val="0"/>
              </w:rPr>
              <w:t>严格落实《新时代高校教师职业行为十项准则》等规定，建立健全教师师德建设责任、监督和考核机制，把师德师风作为教师年度考核、岗位聘任、职务晋升、评优评先的第一标准，全面营造“清正教风”。</w:t>
            </w:r>
          </w:p>
        </w:tc>
      </w:tr>
      <w:tr>
        <w:tblPrEx>
          <w:tblCellMar>
            <w:top w:w="0" w:type="dxa"/>
            <w:left w:w="108" w:type="dxa"/>
            <w:bottom w:w="0" w:type="dxa"/>
            <w:right w:w="108" w:type="dxa"/>
          </w:tblCellMar>
        </w:tblPrEx>
        <w:trPr>
          <w:trHeight w:val="661" w:hRule="atLeast"/>
          <w:jc w:val="center"/>
        </w:trPr>
        <w:tc>
          <w:tcPr>
            <w:tcW w:w="15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4.3 </w:t>
            </w:r>
            <w:r>
              <w:rPr>
                <w:rFonts w:hint="eastAsia" w:eastAsia="仿宋_GB2312"/>
                <w:kern w:val="0"/>
                <w:sz w:val="24"/>
                <w:szCs w:val="24"/>
              </w:rPr>
              <w:t>加强学风建设（2分）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rPr>
            </w:pPr>
            <w:r>
              <w:rPr>
                <w:rFonts w:hint="eastAsia"/>
                <w:kern w:val="0"/>
              </w:rPr>
              <w:t>建立健全弘扬优良学风长效机制，严格学生学业管理，加强学生学业诚信教育和管理，严肃处理考试作弊和学术不端等行为，推动建设“清新学风”。</w:t>
            </w:r>
          </w:p>
        </w:tc>
      </w:tr>
      <w:tr>
        <w:tblPrEx>
          <w:tblCellMar>
            <w:top w:w="0" w:type="dxa"/>
            <w:left w:w="108" w:type="dxa"/>
            <w:bottom w:w="0" w:type="dxa"/>
            <w:right w:w="108" w:type="dxa"/>
          </w:tblCellMar>
        </w:tblPrEx>
        <w:trPr>
          <w:trHeight w:val="915" w:hRule="atLeast"/>
          <w:jc w:val="center"/>
        </w:trPr>
        <w:tc>
          <w:tcPr>
            <w:tcW w:w="15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
              </w:numPr>
              <w:jc w:val="center"/>
              <w:rPr>
                <w:rFonts w:hint="eastAsia" w:eastAsia="楷体"/>
                <w:kern w:val="0"/>
                <w:sz w:val="24"/>
                <w:szCs w:val="24"/>
              </w:rPr>
            </w:pPr>
            <w:r>
              <w:rPr>
                <w:rFonts w:hint="eastAsia" w:eastAsia="楷体"/>
                <w:kern w:val="0"/>
                <w:sz w:val="24"/>
                <w:szCs w:val="24"/>
              </w:rPr>
              <w:t>纪律建设</w:t>
            </w:r>
          </w:p>
          <w:p>
            <w:pPr>
              <w:widowControl/>
              <w:jc w:val="center"/>
              <w:rPr>
                <w:rFonts w:eastAsia="楷体"/>
                <w:kern w:val="0"/>
                <w:sz w:val="24"/>
                <w:szCs w:val="24"/>
              </w:rPr>
            </w:pPr>
            <w:r>
              <w:rPr>
                <w:rFonts w:hint="eastAsia" w:eastAsia="楷体"/>
                <w:kern w:val="0"/>
                <w:sz w:val="24"/>
                <w:szCs w:val="24"/>
              </w:rPr>
              <w:t>（10分）</w:t>
            </w: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5.1 </w:t>
            </w:r>
            <w:r>
              <w:rPr>
                <w:rFonts w:hint="eastAsia" w:eastAsia="仿宋_GB2312"/>
                <w:kern w:val="0"/>
                <w:sz w:val="24"/>
                <w:szCs w:val="24"/>
              </w:rPr>
              <w:t>完善纪律制度（4分）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rPr>
            </w:pPr>
            <w:r>
              <w:rPr>
                <w:rFonts w:hint="eastAsia"/>
                <w:kern w:val="0"/>
              </w:rPr>
              <w:t>坚持把纪律和规矩挺在前面，规范院（系）各类评审和奖惩制度，建立健全内部控制机制，加强对廉洁风险的排查。完善对重点领域关键环节的管理制度，健全招生考试、职务评聘、人才引进、经费使用、物资采购等方面的规章制度，完善程序办法。</w:t>
            </w:r>
          </w:p>
        </w:tc>
      </w:tr>
      <w:tr>
        <w:tblPrEx>
          <w:tblCellMar>
            <w:top w:w="0" w:type="dxa"/>
            <w:left w:w="108" w:type="dxa"/>
            <w:bottom w:w="0" w:type="dxa"/>
            <w:right w:w="108" w:type="dxa"/>
          </w:tblCellMar>
        </w:tblPrEx>
        <w:trPr>
          <w:trHeight w:val="780" w:hRule="atLeast"/>
          <w:jc w:val="center"/>
        </w:trPr>
        <w:tc>
          <w:tcPr>
            <w:tcW w:w="15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5.2 </w:t>
            </w:r>
            <w:r>
              <w:rPr>
                <w:rFonts w:hint="eastAsia" w:eastAsia="仿宋_GB2312"/>
                <w:kern w:val="0"/>
                <w:sz w:val="24"/>
                <w:szCs w:val="24"/>
              </w:rPr>
              <w:t>加强纪律教育（2分）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rPr>
            </w:pPr>
            <w:r>
              <w:rPr>
                <w:rFonts w:hint="eastAsia"/>
                <w:kern w:val="0"/>
              </w:rPr>
              <w:t>积极推动“清廉文化进校园”，把清廉要求渗透到院（系）环境布置、文艺活动和课堂教学中，组织开展党章党规党纪宣传教育、廉政文化活动等，教育引导师生崇廉尚洁。</w:t>
            </w:r>
          </w:p>
        </w:tc>
      </w:tr>
      <w:tr>
        <w:tblPrEx>
          <w:tblCellMar>
            <w:top w:w="0" w:type="dxa"/>
            <w:left w:w="108" w:type="dxa"/>
            <w:bottom w:w="0" w:type="dxa"/>
            <w:right w:w="108" w:type="dxa"/>
          </w:tblCellMar>
        </w:tblPrEx>
        <w:trPr>
          <w:trHeight w:val="930" w:hRule="atLeast"/>
          <w:jc w:val="center"/>
        </w:trPr>
        <w:tc>
          <w:tcPr>
            <w:tcW w:w="15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203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5.3 </w:t>
            </w:r>
            <w:r>
              <w:rPr>
                <w:rFonts w:hint="eastAsia" w:eastAsia="仿宋_GB2312"/>
                <w:kern w:val="0"/>
                <w:sz w:val="24"/>
                <w:szCs w:val="24"/>
              </w:rPr>
              <w:t>强化监督执纪（4分）</w:t>
            </w:r>
          </w:p>
        </w:tc>
        <w:tc>
          <w:tcPr>
            <w:tcW w:w="9829" w:type="dxa"/>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rPr>
            </w:pPr>
            <w:r>
              <w:rPr>
                <w:rFonts w:hint="eastAsia"/>
                <w:kern w:val="0"/>
              </w:rPr>
              <w:t>积极运用监督执纪“四种形态”，注重抓早抓小抓预防，完善院（系）党组织全面监督、基层党组织日常监督、党员民主监督等作用。</w:t>
            </w:r>
            <w:r>
              <w:rPr>
                <w:kern w:val="0"/>
              </w:rPr>
              <w:t>推</w:t>
            </w:r>
            <w:r>
              <w:rPr>
                <w:rFonts w:hint="eastAsia"/>
                <w:kern w:val="0"/>
              </w:rPr>
              <w:t>进</w:t>
            </w:r>
            <w:r>
              <w:rPr>
                <w:kern w:val="0"/>
              </w:rPr>
              <w:t>院（系）党务公开</w:t>
            </w:r>
            <w:r>
              <w:rPr>
                <w:rFonts w:hint="eastAsia"/>
                <w:kern w:val="0"/>
              </w:rPr>
              <w:t>。完善查处和惩治机制，加大警示力度，对违反纪律规定的人和事，严肃追究责任，做到见人、见事、见结果。支持和保障院（系）纪委（委员）</w:t>
            </w:r>
            <w:r>
              <w:rPr>
                <w:kern w:val="0"/>
              </w:rPr>
              <w:t>开展监督工作。</w:t>
            </w:r>
          </w:p>
        </w:tc>
      </w:tr>
      <w:tr>
        <w:tblPrEx>
          <w:tblCellMar>
            <w:top w:w="0" w:type="dxa"/>
            <w:left w:w="108" w:type="dxa"/>
            <w:bottom w:w="0" w:type="dxa"/>
            <w:right w:w="108" w:type="dxa"/>
          </w:tblCellMar>
        </w:tblPrEx>
        <w:trPr>
          <w:trHeight w:val="606" w:hRule="atLeast"/>
          <w:jc w:val="center"/>
        </w:trPr>
        <w:tc>
          <w:tcPr>
            <w:tcW w:w="1522" w:type="dxa"/>
            <w:vMerge w:val="restart"/>
            <w:tcBorders>
              <w:top w:val="single" w:color="auto" w:sz="4" w:space="0"/>
              <w:left w:val="single" w:color="auto" w:sz="8" w:space="0"/>
              <w:bottom w:val="single" w:color="000000" w:sz="8" w:space="0"/>
              <w:right w:val="single" w:color="auto" w:sz="4" w:space="0"/>
            </w:tcBorders>
            <w:noWrap w:val="0"/>
            <w:vAlign w:val="center"/>
          </w:tcPr>
          <w:p>
            <w:pPr>
              <w:widowControl/>
              <w:numPr>
                <w:ilvl w:val="0"/>
                <w:numId w:val="1"/>
              </w:numPr>
              <w:jc w:val="center"/>
              <w:rPr>
                <w:rFonts w:hint="eastAsia" w:eastAsia="楷体"/>
                <w:kern w:val="0"/>
                <w:sz w:val="24"/>
                <w:szCs w:val="24"/>
              </w:rPr>
            </w:pPr>
            <w:r>
              <w:rPr>
                <w:rFonts w:hint="eastAsia" w:eastAsia="楷体"/>
                <w:kern w:val="0"/>
                <w:sz w:val="24"/>
                <w:szCs w:val="24"/>
              </w:rPr>
              <w:t>引领发展</w:t>
            </w:r>
          </w:p>
          <w:p>
            <w:pPr>
              <w:widowControl/>
              <w:jc w:val="center"/>
              <w:rPr>
                <w:rFonts w:eastAsia="楷体"/>
                <w:kern w:val="0"/>
                <w:sz w:val="24"/>
                <w:szCs w:val="24"/>
              </w:rPr>
            </w:pPr>
            <w:r>
              <w:rPr>
                <w:rFonts w:hint="eastAsia" w:eastAsia="楷体"/>
                <w:kern w:val="0"/>
                <w:sz w:val="24"/>
                <w:szCs w:val="24"/>
              </w:rPr>
              <w:t>（15分）</w:t>
            </w:r>
          </w:p>
        </w:tc>
        <w:tc>
          <w:tcPr>
            <w:tcW w:w="2037" w:type="dxa"/>
            <w:tcBorders>
              <w:top w:val="single" w:color="auto" w:sz="4" w:space="0"/>
              <w:left w:val="nil"/>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6.1 </w:t>
            </w:r>
            <w:r>
              <w:rPr>
                <w:rFonts w:hint="eastAsia" w:eastAsia="仿宋_GB2312"/>
                <w:kern w:val="0"/>
                <w:sz w:val="24"/>
                <w:szCs w:val="24"/>
              </w:rPr>
              <w:t>推动院（系）内部治理体系完善（5分）</w:t>
            </w:r>
          </w:p>
        </w:tc>
        <w:tc>
          <w:tcPr>
            <w:tcW w:w="9829" w:type="dxa"/>
            <w:tcBorders>
              <w:top w:val="single" w:color="auto" w:sz="4" w:space="0"/>
              <w:left w:val="nil"/>
              <w:bottom w:val="single" w:color="auto" w:sz="4" w:space="0"/>
              <w:right w:val="single" w:color="auto" w:sz="8" w:space="0"/>
            </w:tcBorders>
            <w:noWrap w:val="0"/>
            <w:vAlign w:val="center"/>
          </w:tcPr>
          <w:p>
            <w:pPr>
              <w:widowControl/>
              <w:jc w:val="left"/>
              <w:rPr>
                <w:kern w:val="0"/>
              </w:rPr>
            </w:pPr>
            <w:r>
              <w:rPr>
                <w:rFonts w:hint="eastAsia"/>
                <w:kern w:val="0"/>
              </w:rPr>
              <w:t>领导本单位群团组织，定期听取群团组织工作汇报，每年至少</w:t>
            </w:r>
            <w:r>
              <w:rPr>
                <w:kern w:val="0"/>
              </w:rPr>
              <w:t>1</w:t>
            </w:r>
            <w:r>
              <w:rPr>
                <w:rFonts w:hint="eastAsia"/>
                <w:kern w:val="0"/>
              </w:rPr>
              <w:t>次专题研究群团工作，加强院（系）工会、教代会、共青团等建设，加强对学生社团的管理、引导、服务和联系，积极引导师生参与学院（系）民主管理。认真做好院（系）统战工作，按要求设统战委员，加强对党外知识分子的思想引领，落实征求党外代表人士意见制度。尊重并支持学术委员会独立行使职权。</w:t>
            </w:r>
          </w:p>
        </w:tc>
      </w:tr>
      <w:tr>
        <w:tblPrEx>
          <w:tblCellMar>
            <w:top w:w="0" w:type="dxa"/>
            <w:left w:w="108" w:type="dxa"/>
            <w:bottom w:w="0" w:type="dxa"/>
            <w:right w:w="108" w:type="dxa"/>
          </w:tblCellMar>
        </w:tblPrEx>
        <w:trPr>
          <w:trHeight w:val="809" w:hRule="atLeast"/>
          <w:jc w:val="center"/>
        </w:trPr>
        <w:tc>
          <w:tcPr>
            <w:tcW w:w="1522" w:type="dxa"/>
            <w:vMerge w:val="continue"/>
            <w:tcBorders>
              <w:top w:val="nil"/>
              <w:left w:val="single" w:color="auto" w:sz="8" w:space="0"/>
              <w:bottom w:val="single" w:color="000000" w:sz="8" w:space="0"/>
              <w:right w:val="single" w:color="auto" w:sz="4" w:space="0"/>
            </w:tcBorders>
            <w:noWrap w:val="0"/>
            <w:vAlign w:val="center"/>
          </w:tcPr>
          <w:p>
            <w:pPr>
              <w:widowControl/>
              <w:jc w:val="left"/>
              <w:rPr>
                <w:rFonts w:eastAsia="楷体"/>
                <w:kern w:val="0"/>
                <w:sz w:val="24"/>
                <w:szCs w:val="24"/>
              </w:rPr>
            </w:pPr>
          </w:p>
        </w:tc>
        <w:tc>
          <w:tcPr>
            <w:tcW w:w="2037" w:type="dxa"/>
            <w:tcBorders>
              <w:top w:val="nil"/>
              <w:left w:val="nil"/>
              <w:bottom w:val="single" w:color="auto" w:sz="8"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6.2 </w:t>
            </w:r>
            <w:r>
              <w:rPr>
                <w:rFonts w:hint="eastAsia" w:eastAsia="仿宋_GB2312"/>
                <w:kern w:val="0"/>
                <w:sz w:val="24"/>
                <w:szCs w:val="24"/>
              </w:rPr>
              <w:t>引领院（系）改革发展稳定工作（10分）</w:t>
            </w:r>
          </w:p>
        </w:tc>
        <w:tc>
          <w:tcPr>
            <w:tcW w:w="9829" w:type="dxa"/>
            <w:tcBorders>
              <w:top w:val="nil"/>
              <w:left w:val="nil"/>
              <w:bottom w:val="single" w:color="auto" w:sz="8" w:space="0"/>
              <w:right w:val="single" w:color="auto" w:sz="8" w:space="0"/>
            </w:tcBorders>
            <w:noWrap w:val="0"/>
            <w:vAlign w:val="center"/>
          </w:tcPr>
          <w:p>
            <w:pPr>
              <w:widowControl/>
              <w:jc w:val="left"/>
              <w:rPr>
                <w:kern w:val="0"/>
              </w:rPr>
            </w:pPr>
            <w:r>
              <w:rPr>
                <w:rFonts w:hint="eastAsia"/>
                <w:kern w:val="0"/>
              </w:rPr>
              <w:t>坚持围绕中心服务大局，积极创建党建特色和品牌，不断强化院（系）党组织政治功能、组织功能和服务功能，充分发挥政治引领、思想凝聚、组织保证等作用，谋划推进、保障落实人才培养、学科专业建设、科研服务等重大改革、重要事项、重点安排成效明显。</w:t>
            </w:r>
          </w:p>
        </w:tc>
      </w:tr>
    </w:tbl>
    <w:p>
      <w:pPr>
        <w:widowControl/>
        <w:jc w:val="left"/>
        <w:rPr>
          <w:rFonts w:hint="eastAsia" w:eastAsia="仿宋_GB2312"/>
          <w:kern w:val="0"/>
          <w:sz w:val="24"/>
          <w:szCs w:val="24"/>
        </w:rPr>
      </w:pPr>
    </w:p>
    <w:p>
      <w:pPr>
        <w:widowControl/>
        <w:ind w:firstLine="480" w:firstLineChars="200"/>
        <w:jc w:val="left"/>
      </w:pPr>
      <w:r>
        <w:rPr>
          <w:rFonts w:hint="eastAsia" w:ascii="仿宋_GB2312" w:eastAsia="仿宋_GB2312"/>
          <w:kern w:val="0"/>
          <w:sz w:val="24"/>
          <w:szCs w:val="24"/>
        </w:rPr>
        <w:t>注：评分采取总分100分逐项扣分的办法进行，每个项目分值扣完为止。</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D224A7-7EBF-498A-B314-A5905B8E05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C9F5942-F2F8-46BF-AC24-F309A1977C4D}"/>
  </w:font>
  <w:font w:name="方正小标宋简体">
    <w:panose1 w:val="02000000000000000000"/>
    <w:charset w:val="86"/>
    <w:family w:val="script"/>
    <w:pitch w:val="default"/>
    <w:sig w:usb0="00000001" w:usb1="08000000" w:usb2="00000000" w:usb3="00000000" w:csb0="00040000" w:csb1="00000000"/>
    <w:embedRegular r:id="rId3" w:fontKey="{D0D9B587-0611-4F7B-90DA-8DA57E4B19A7}"/>
  </w:font>
  <w:font w:name="仿宋_GB2312">
    <w:altName w:val="仿宋"/>
    <w:panose1 w:val="02010609030101010101"/>
    <w:charset w:val="86"/>
    <w:family w:val="modern"/>
    <w:pitch w:val="default"/>
    <w:sig w:usb0="00000000" w:usb1="00000000" w:usb2="00000010" w:usb3="00000000" w:csb0="00040000" w:csb1="00000000"/>
    <w:embedRegular r:id="rId4" w:fontKey="{A659DAF5-701E-47CA-BE9A-D6B6267D23DC}"/>
  </w:font>
  <w:font w:name="楷体">
    <w:panose1 w:val="02010609060101010101"/>
    <w:charset w:val="86"/>
    <w:family w:val="modern"/>
    <w:pitch w:val="default"/>
    <w:sig w:usb0="800002BF" w:usb1="38CF7CFA" w:usb2="00000016" w:usb3="00000000" w:csb0="00040001" w:csb1="00000000"/>
    <w:embedRegular r:id="rId5" w:fontKey="{945B3CEF-B04E-4F63-AD0D-413A5F156245}"/>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19C520"/>
    <w:multiLevelType w:val="singleLevel"/>
    <w:tmpl w:val="0819C52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iYjdlMDlmYTNiZmRhYTliODgzMTg2YzhjMjRmOGUifQ=="/>
  </w:docVars>
  <w:rsids>
    <w:rsidRoot w:val="3C264F5B"/>
    <w:rsid w:val="3C264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2023-01-04T06:15:00Z</dcterms:created>
  <dc:creator>皇宁儿</dc:creator>
  <cp:lastModifiedBy>皇宁儿</cp:lastModifiedBy>
  <dcterms:modified xsi:type="dcterms:W3CDTF">2023-01-04T06:15:58Z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C157F55A65E34C50B64092C14EBB6902</vt:lpwstr>
  </property>
</Properties>
</file>